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6D" w:rsidRPr="00A3396D" w:rsidRDefault="00A3396D" w:rsidP="00A3396D">
      <w:pPr>
        <w:spacing w:before="100" w:beforeAutospacing="1" w:after="0" w:line="240" w:lineRule="auto"/>
        <w:rPr>
          <w:rFonts w:asciiTheme="majorHAnsi" w:eastAsia="Times New Roman" w:hAnsiTheme="majorHAnsi" w:cs="Times New Roman"/>
          <w:bCs/>
          <w:sz w:val="24"/>
          <w:szCs w:val="24"/>
          <w:lang w:val="el-GR"/>
        </w:rPr>
      </w:pPr>
      <w:r w:rsidRPr="00A3396D">
        <w:rPr>
          <w:rFonts w:asciiTheme="majorHAnsi" w:eastAsia="Times New Roman" w:hAnsiTheme="majorHAnsi" w:cs="Times New Roman"/>
          <w:bCs/>
          <w:sz w:val="24"/>
          <w:szCs w:val="24"/>
          <w:lang w:val="el-GR"/>
        </w:rPr>
        <w:t>16/02/2018</w:t>
      </w:r>
    </w:p>
    <w:p w:rsidR="00FD527E" w:rsidRPr="00FD527E" w:rsidRDefault="00FD527E" w:rsidP="00FD527E">
      <w:pPr>
        <w:spacing w:before="100" w:beforeAutospacing="1" w:after="0" w:line="240" w:lineRule="auto"/>
        <w:jc w:val="right"/>
        <w:rPr>
          <w:rFonts w:asciiTheme="majorHAnsi" w:eastAsia="Times New Roman" w:hAnsiTheme="majorHAnsi" w:cs="Times New Roman"/>
          <w:sz w:val="24"/>
          <w:szCs w:val="24"/>
          <w:lang w:val="el-GR"/>
        </w:rPr>
      </w:pPr>
      <w:r w:rsidRPr="00FD527E">
        <w:rPr>
          <w:rFonts w:asciiTheme="majorHAnsi" w:eastAsia="Times New Roman" w:hAnsiTheme="majorHAnsi" w:cs="Times New Roman"/>
          <w:b/>
          <w:bCs/>
          <w:sz w:val="24"/>
          <w:szCs w:val="24"/>
          <w:lang w:val="el-GR"/>
        </w:rPr>
        <w:t>Αλέξανδρος Ρόκας</w:t>
      </w:r>
    </w:p>
    <w:p w:rsidR="00FD527E" w:rsidRPr="00FD527E" w:rsidRDefault="00FD527E" w:rsidP="00FD527E">
      <w:pPr>
        <w:spacing w:after="0" w:line="288" w:lineRule="auto"/>
        <w:jc w:val="right"/>
        <w:rPr>
          <w:rFonts w:asciiTheme="majorHAnsi" w:eastAsia="Times New Roman" w:hAnsiTheme="majorHAnsi" w:cs="Times New Roman"/>
          <w:sz w:val="24"/>
          <w:szCs w:val="24"/>
          <w:lang w:val="el-GR"/>
        </w:rPr>
      </w:pPr>
      <w:r w:rsidRPr="00FD527E">
        <w:rPr>
          <w:rFonts w:asciiTheme="majorHAnsi" w:eastAsia="Times New Roman" w:hAnsiTheme="majorHAnsi" w:cs="Times New Roman"/>
          <w:sz w:val="24"/>
          <w:szCs w:val="24"/>
          <w:lang w:val="el-GR"/>
        </w:rPr>
        <w:t>Δικηγόρος – Δ</w:t>
      </w:r>
      <w:r w:rsidR="00A3396D">
        <w:rPr>
          <w:rFonts w:asciiTheme="majorHAnsi" w:eastAsia="Times New Roman" w:hAnsiTheme="majorHAnsi" w:cs="Times New Roman"/>
          <w:sz w:val="24"/>
          <w:szCs w:val="24"/>
          <w:lang w:val="el-GR"/>
        </w:rPr>
        <w:t>ρ. Νομικής</w:t>
      </w:r>
    </w:p>
    <w:p w:rsidR="00FD527E" w:rsidRDefault="00FD527E" w:rsidP="00FD527E">
      <w:pPr>
        <w:spacing w:after="0" w:line="288" w:lineRule="auto"/>
        <w:jc w:val="right"/>
        <w:rPr>
          <w:rFonts w:asciiTheme="majorHAnsi" w:eastAsia="Times New Roman" w:hAnsiTheme="majorHAnsi" w:cs="Times New Roman"/>
          <w:sz w:val="24"/>
          <w:szCs w:val="24"/>
          <w:lang w:val="el-GR"/>
        </w:rPr>
      </w:pPr>
      <w:r w:rsidRPr="00FD527E">
        <w:rPr>
          <w:rFonts w:asciiTheme="majorHAnsi" w:eastAsia="Times New Roman" w:hAnsiTheme="majorHAnsi" w:cs="Times New Roman"/>
          <w:sz w:val="24"/>
          <w:szCs w:val="24"/>
          <w:lang w:val="el-GR"/>
        </w:rPr>
        <w:t xml:space="preserve">Μέλος Δ.Σ. Συνδέσμου Ελλήνων </w:t>
      </w:r>
      <w:proofErr w:type="spellStart"/>
      <w:r w:rsidRPr="00FD527E">
        <w:rPr>
          <w:rFonts w:asciiTheme="majorHAnsi" w:eastAsia="Times New Roman" w:hAnsiTheme="majorHAnsi" w:cs="Times New Roman"/>
          <w:sz w:val="24"/>
          <w:szCs w:val="24"/>
          <w:lang w:val="el-GR"/>
        </w:rPr>
        <w:t>Εμπορικολόγων</w:t>
      </w:r>
      <w:proofErr w:type="spellEnd"/>
    </w:p>
    <w:p w:rsidR="0034164F" w:rsidRPr="00FD527E" w:rsidRDefault="0034164F" w:rsidP="00FD527E">
      <w:pPr>
        <w:spacing w:after="0" w:line="288" w:lineRule="auto"/>
        <w:jc w:val="right"/>
        <w:rPr>
          <w:rFonts w:asciiTheme="majorHAnsi" w:eastAsia="Times New Roman" w:hAnsiTheme="majorHAnsi" w:cs="Times New Roman"/>
          <w:sz w:val="24"/>
          <w:szCs w:val="24"/>
          <w:lang w:val="el-GR"/>
        </w:rPr>
      </w:pPr>
      <w:r w:rsidRPr="0034164F">
        <w:rPr>
          <w:rFonts w:asciiTheme="majorHAnsi" w:eastAsia="Times New Roman" w:hAnsiTheme="majorHAnsi" w:cs="Times New Roman"/>
          <w:sz w:val="24"/>
          <w:szCs w:val="24"/>
          <w:lang w:val="el-GR"/>
        </w:rPr>
        <w:t>arokas@eempd.gr</w:t>
      </w:r>
    </w:p>
    <w:p w:rsidR="00FD527E" w:rsidRPr="00FD527E" w:rsidRDefault="00FD527E">
      <w:pPr>
        <w:rPr>
          <w:rFonts w:asciiTheme="majorHAnsi" w:hAnsiTheme="majorHAnsi"/>
          <w:b/>
          <w:sz w:val="23"/>
          <w:szCs w:val="23"/>
          <w:lang w:val="el-GR"/>
        </w:rPr>
      </w:pPr>
    </w:p>
    <w:p w:rsidR="00556A0A" w:rsidRPr="00FD527E" w:rsidRDefault="00E60168" w:rsidP="00A3396D">
      <w:pPr>
        <w:jc w:val="center"/>
        <w:rPr>
          <w:rFonts w:asciiTheme="majorHAnsi" w:hAnsiTheme="majorHAnsi"/>
          <w:b/>
          <w:sz w:val="23"/>
          <w:szCs w:val="23"/>
          <w:lang w:val="el-GR"/>
        </w:rPr>
      </w:pPr>
      <w:r w:rsidRPr="00FD527E">
        <w:rPr>
          <w:rFonts w:asciiTheme="majorHAnsi" w:hAnsiTheme="majorHAnsi"/>
          <w:b/>
          <w:sz w:val="23"/>
          <w:szCs w:val="23"/>
          <w:lang w:val="el-GR"/>
        </w:rPr>
        <w:t>Σκέψεις για την κατάταξη των πιστωτών ύστερα από το ν. 4512/2018</w:t>
      </w:r>
    </w:p>
    <w:p w:rsidR="00E60168" w:rsidRPr="00FD527E" w:rsidRDefault="00162A4E" w:rsidP="00FD527E">
      <w:pPr>
        <w:jc w:val="both"/>
        <w:rPr>
          <w:rFonts w:asciiTheme="majorHAnsi" w:hAnsiTheme="majorHAnsi"/>
          <w:sz w:val="23"/>
          <w:szCs w:val="23"/>
          <w:lang w:val="el-GR"/>
        </w:rPr>
      </w:pPr>
      <w:r w:rsidRPr="00FD527E">
        <w:rPr>
          <w:rFonts w:asciiTheme="majorHAnsi" w:hAnsiTheme="majorHAnsi"/>
          <w:sz w:val="23"/>
          <w:szCs w:val="23"/>
          <w:lang w:val="el-GR"/>
        </w:rPr>
        <w:t xml:space="preserve">Με τις διατάξεις του πρόσφατου ν. 4512/2018, και δη με τα </w:t>
      </w:r>
      <w:proofErr w:type="spellStart"/>
      <w:r w:rsidRPr="00FD527E">
        <w:rPr>
          <w:rFonts w:asciiTheme="majorHAnsi" w:hAnsiTheme="majorHAnsi"/>
          <w:sz w:val="23"/>
          <w:szCs w:val="23"/>
          <w:lang w:val="el-GR"/>
        </w:rPr>
        <w:t>άρ</w:t>
      </w:r>
      <w:proofErr w:type="spellEnd"/>
      <w:r w:rsidRPr="00FD527E">
        <w:rPr>
          <w:rFonts w:asciiTheme="majorHAnsi" w:hAnsiTheme="majorHAnsi"/>
          <w:sz w:val="23"/>
          <w:szCs w:val="23"/>
          <w:lang w:val="el-GR"/>
        </w:rPr>
        <w:t>. 176 – 177 αυτού, τροποποιούνται εκ νέου οι διατάξεις για την κατάταξη των πιστωτών τόσο στην αναγκαστική εκτέλεση, όσο και στην πτώχευση. Εντ</w:t>
      </w:r>
      <w:r w:rsidR="00546AFC" w:rsidRPr="00FD527E">
        <w:rPr>
          <w:rFonts w:asciiTheme="majorHAnsi" w:hAnsiTheme="majorHAnsi"/>
          <w:sz w:val="23"/>
          <w:szCs w:val="23"/>
          <w:lang w:val="el-GR"/>
        </w:rPr>
        <w:t xml:space="preserve">ύπωση, κατ’ αρχήν, προκαλεί η σε τόσο σύντομο χρονικό διάστημα εκ νέου ρύθμιση του εν λόγω θέματος. Με τους ν. 4335 και 4336/2015 είχαν και πάλι τροποποιηθεί τα οικεία άρθρα του </w:t>
      </w:r>
      <w:proofErr w:type="spellStart"/>
      <w:r w:rsidR="00546AFC" w:rsidRPr="00FD527E">
        <w:rPr>
          <w:rFonts w:asciiTheme="majorHAnsi" w:hAnsiTheme="majorHAnsi"/>
          <w:sz w:val="23"/>
          <w:szCs w:val="23"/>
          <w:lang w:val="el-GR"/>
        </w:rPr>
        <w:t>ΚΠολΔ</w:t>
      </w:r>
      <w:proofErr w:type="spellEnd"/>
      <w:r w:rsidR="00546AFC" w:rsidRPr="00FD527E">
        <w:rPr>
          <w:rFonts w:asciiTheme="majorHAnsi" w:hAnsiTheme="majorHAnsi"/>
          <w:sz w:val="23"/>
          <w:szCs w:val="23"/>
          <w:lang w:val="el-GR"/>
        </w:rPr>
        <w:t xml:space="preserve"> και του </w:t>
      </w:r>
      <w:proofErr w:type="spellStart"/>
      <w:r w:rsidR="00546AFC" w:rsidRPr="00FD527E">
        <w:rPr>
          <w:rFonts w:asciiTheme="majorHAnsi" w:hAnsiTheme="majorHAnsi"/>
          <w:sz w:val="23"/>
          <w:szCs w:val="23"/>
          <w:lang w:val="el-GR"/>
        </w:rPr>
        <w:t>ΠτωχΚ</w:t>
      </w:r>
      <w:proofErr w:type="spellEnd"/>
      <w:r w:rsidR="00546AFC" w:rsidRPr="00FD527E">
        <w:rPr>
          <w:rFonts w:asciiTheme="majorHAnsi" w:hAnsiTheme="majorHAnsi"/>
          <w:sz w:val="23"/>
          <w:szCs w:val="23"/>
          <w:lang w:val="el-GR"/>
        </w:rPr>
        <w:t xml:space="preserve"> (βλ. </w:t>
      </w:r>
      <w:proofErr w:type="spellStart"/>
      <w:r w:rsidR="00546AFC" w:rsidRPr="00FD527E">
        <w:rPr>
          <w:rFonts w:asciiTheme="majorHAnsi" w:hAnsiTheme="majorHAnsi"/>
          <w:i/>
          <w:sz w:val="23"/>
          <w:szCs w:val="23"/>
          <w:lang w:val="el-GR"/>
        </w:rPr>
        <w:t>Μάζη</w:t>
      </w:r>
      <w:proofErr w:type="spellEnd"/>
      <w:r w:rsidR="00546AFC" w:rsidRPr="00FD527E">
        <w:rPr>
          <w:rFonts w:asciiTheme="majorHAnsi" w:hAnsiTheme="majorHAnsi"/>
          <w:sz w:val="23"/>
          <w:szCs w:val="23"/>
          <w:lang w:val="el-GR"/>
        </w:rPr>
        <w:t xml:space="preserve">, ΔΕΕ 2016, 641 </w:t>
      </w:r>
      <w:proofErr w:type="spellStart"/>
      <w:r w:rsidR="00546AFC" w:rsidRPr="00FD527E">
        <w:rPr>
          <w:rFonts w:asciiTheme="majorHAnsi" w:hAnsiTheme="majorHAnsi"/>
          <w:sz w:val="23"/>
          <w:szCs w:val="23"/>
          <w:lang w:val="el-GR"/>
        </w:rPr>
        <w:t>επ.∙</w:t>
      </w:r>
      <w:proofErr w:type="spellEnd"/>
      <w:r w:rsidR="00546AFC" w:rsidRPr="00FD527E">
        <w:rPr>
          <w:rFonts w:asciiTheme="majorHAnsi" w:hAnsiTheme="majorHAnsi"/>
          <w:sz w:val="23"/>
          <w:szCs w:val="23"/>
          <w:lang w:val="el-GR"/>
        </w:rPr>
        <w:t xml:space="preserve"> </w:t>
      </w:r>
      <w:proofErr w:type="spellStart"/>
      <w:r w:rsidR="00546AFC" w:rsidRPr="00FD527E">
        <w:rPr>
          <w:rFonts w:asciiTheme="majorHAnsi" w:hAnsiTheme="majorHAnsi"/>
          <w:i/>
          <w:sz w:val="23"/>
          <w:szCs w:val="23"/>
          <w:lang w:val="el-GR"/>
        </w:rPr>
        <w:t>Γέσιου</w:t>
      </w:r>
      <w:proofErr w:type="spellEnd"/>
      <w:r w:rsidR="00546AFC" w:rsidRPr="00FD527E">
        <w:rPr>
          <w:rFonts w:asciiTheme="majorHAnsi" w:hAnsiTheme="majorHAnsi"/>
          <w:i/>
          <w:sz w:val="23"/>
          <w:szCs w:val="23"/>
          <w:lang w:val="el-GR"/>
        </w:rPr>
        <w:t>-</w:t>
      </w:r>
      <w:proofErr w:type="spellStart"/>
      <w:r w:rsidR="00546AFC" w:rsidRPr="00FD527E">
        <w:rPr>
          <w:rFonts w:asciiTheme="majorHAnsi" w:hAnsiTheme="majorHAnsi"/>
          <w:i/>
          <w:sz w:val="23"/>
          <w:szCs w:val="23"/>
          <w:lang w:val="el-GR"/>
        </w:rPr>
        <w:t>Φαλτση</w:t>
      </w:r>
      <w:proofErr w:type="spellEnd"/>
      <w:r w:rsidR="00546AFC" w:rsidRPr="00FD527E">
        <w:rPr>
          <w:rFonts w:asciiTheme="majorHAnsi" w:hAnsiTheme="majorHAnsi"/>
          <w:sz w:val="23"/>
          <w:szCs w:val="23"/>
          <w:lang w:val="el-GR"/>
        </w:rPr>
        <w:t xml:space="preserve">, </w:t>
      </w:r>
      <w:proofErr w:type="spellStart"/>
      <w:r w:rsidR="00546AFC" w:rsidRPr="00FD527E">
        <w:rPr>
          <w:rFonts w:asciiTheme="majorHAnsi" w:hAnsiTheme="majorHAnsi"/>
          <w:sz w:val="23"/>
          <w:szCs w:val="23"/>
          <w:lang w:val="el-GR"/>
        </w:rPr>
        <w:t>ΔικΑνΕκτ</w:t>
      </w:r>
      <w:proofErr w:type="spellEnd"/>
      <w:r w:rsidR="00546AFC" w:rsidRPr="00FD527E">
        <w:rPr>
          <w:rFonts w:asciiTheme="majorHAnsi" w:hAnsiTheme="majorHAnsi"/>
          <w:sz w:val="23"/>
          <w:szCs w:val="23"/>
          <w:lang w:val="el-GR"/>
        </w:rPr>
        <w:t xml:space="preserve">, τ. </w:t>
      </w:r>
      <w:proofErr w:type="spellStart"/>
      <w:r w:rsidR="00546AFC" w:rsidRPr="00FD527E">
        <w:rPr>
          <w:rFonts w:asciiTheme="majorHAnsi" w:hAnsiTheme="majorHAnsi"/>
          <w:sz w:val="23"/>
          <w:szCs w:val="23"/>
          <w:lang w:val="el-GR"/>
        </w:rPr>
        <w:t>ΙΙα</w:t>
      </w:r>
      <w:proofErr w:type="spellEnd"/>
      <w:r w:rsidR="00546AFC" w:rsidRPr="00FD527E">
        <w:rPr>
          <w:rFonts w:asciiTheme="majorHAnsi" w:hAnsiTheme="majorHAnsi"/>
          <w:sz w:val="23"/>
          <w:szCs w:val="23"/>
          <w:lang w:val="el-GR"/>
        </w:rPr>
        <w:t xml:space="preserve">, 699 </w:t>
      </w:r>
      <w:proofErr w:type="spellStart"/>
      <w:r w:rsidR="00546AFC" w:rsidRPr="00FD527E">
        <w:rPr>
          <w:rFonts w:asciiTheme="majorHAnsi" w:hAnsiTheme="majorHAnsi"/>
          <w:sz w:val="23"/>
          <w:szCs w:val="23"/>
          <w:lang w:val="el-GR"/>
        </w:rPr>
        <w:t>επ.∙</w:t>
      </w:r>
      <w:proofErr w:type="spellEnd"/>
      <w:r w:rsidR="00546AFC" w:rsidRPr="00FD527E">
        <w:rPr>
          <w:rFonts w:asciiTheme="majorHAnsi" w:hAnsiTheme="majorHAnsi"/>
          <w:sz w:val="23"/>
          <w:szCs w:val="23"/>
          <w:lang w:val="el-GR"/>
        </w:rPr>
        <w:t xml:space="preserve"> </w:t>
      </w:r>
      <w:r w:rsidR="00546AFC" w:rsidRPr="00FD527E">
        <w:rPr>
          <w:rFonts w:asciiTheme="majorHAnsi" w:hAnsiTheme="majorHAnsi"/>
          <w:i/>
          <w:sz w:val="23"/>
          <w:szCs w:val="23"/>
          <w:lang w:val="el-GR"/>
        </w:rPr>
        <w:t>Αλ. Ρόκα</w:t>
      </w:r>
      <w:r w:rsidR="00546AFC" w:rsidRPr="00FD527E">
        <w:rPr>
          <w:rFonts w:asciiTheme="majorHAnsi" w:hAnsiTheme="majorHAnsi"/>
          <w:sz w:val="23"/>
          <w:szCs w:val="23"/>
          <w:lang w:val="el-GR"/>
        </w:rPr>
        <w:t xml:space="preserve">, </w:t>
      </w:r>
      <w:proofErr w:type="spellStart"/>
      <w:r w:rsidR="00546AFC" w:rsidRPr="00FD527E">
        <w:rPr>
          <w:rFonts w:asciiTheme="majorHAnsi" w:hAnsiTheme="majorHAnsi"/>
          <w:sz w:val="23"/>
          <w:szCs w:val="23"/>
          <w:lang w:val="el-GR"/>
        </w:rPr>
        <w:t>ΧρΙΔ</w:t>
      </w:r>
      <w:proofErr w:type="spellEnd"/>
      <w:r w:rsidR="00546AFC" w:rsidRPr="00FD527E">
        <w:rPr>
          <w:rFonts w:asciiTheme="majorHAnsi" w:hAnsiTheme="majorHAnsi"/>
          <w:sz w:val="23"/>
          <w:szCs w:val="23"/>
          <w:lang w:val="el-GR"/>
        </w:rPr>
        <w:t xml:space="preserve"> 2015, 657, 660 </w:t>
      </w:r>
      <w:proofErr w:type="spellStart"/>
      <w:r w:rsidR="00546AFC" w:rsidRPr="00FD527E">
        <w:rPr>
          <w:rFonts w:asciiTheme="majorHAnsi" w:hAnsiTheme="majorHAnsi"/>
          <w:sz w:val="23"/>
          <w:szCs w:val="23"/>
          <w:lang w:val="el-GR"/>
        </w:rPr>
        <w:t>επ</w:t>
      </w:r>
      <w:proofErr w:type="spellEnd"/>
      <w:r w:rsidR="00546AFC" w:rsidRPr="00FD527E">
        <w:rPr>
          <w:rFonts w:asciiTheme="majorHAnsi" w:hAnsiTheme="majorHAnsi"/>
          <w:sz w:val="23"/>
          <w:szCs w:val="23"/>
          <w:lang w:val="el-GR"/>
        </w:rPr>
        <w:t>.). Μάλιστα, τόσο οι μεταρρυθμίσεις του 2015, όσο και αυτές του 2018, εντά</w:t>
      </w:r>
      <w:r w:rsidR="008A0638" w:rsidRPr="00FD527E">
        <w:rPr>
          <w:rFonts w:asciiTheme="majorHAnsi" w:hAnsiTheme="majorHAnsi"/>
          <w:sz w:val="23"/>
          <w:szCs w:val="23"/>
          <w:lang w:val="el-GR"/>
        </w:rPr>
        <w:t>χθηκαν</w:t>
      </w:r>
      <w:r w:rsidR="00546AFC" w:rsidRPr="00FD527E">
        <w:rPr>
          <w:rFonts w:asciiTheme="majorHAnsi" w:hAnsiTheme="majorHAnsi"/>
          <w:sz w:val="23"/>
          <w:szCs w:val="23"/>
          <w:lang w:val="el-GR"/>
        </w:rPr>
        <w:t xml:space="preserve"> στο πρόγραμμα οικονομικής προσαρμογής της ελληνικής οικονομίας.</w:t>
      </w:r>
    </w:p>
    <w:p w:rsidR="00162A4E" w:rsidRPr="00FD527E" w:rsidRDefault="00162A4E" w:rsidP="00FD527E">
      <w:pPr>
        <w:jc w:val="both"/>
        <w:rPr>
          <w:rFonts w:asciiTheme="majorHAnsi" w:hAnsiTheme="majorHAnsi"/>
          <w:sz w:val="23"/>
          <w:szCs w:val="23"/>
          <w:lang w:val="el-GR"/>
        </w:rPr>
      </w:pPr>
      <w:r w:rsidRPr="00FD527E">
        <w:rPr>
          <w:rFonts w:asciiTheme="majorHAnsi" w:hAnsiTheme="majorHAnsi"/>
          <w:sz w:val="23"/>
          <w:szCs w:val="23"/>
          <w:lang w:val="el-GR"/>
        </w:rPr>
        <w:t xml:space="preserve">Εξ αρχής πρέπει να </w:t>
      </w:r>
      <w:r w:rsidR="00546AFC" w:rsidRPr="00FD527E">
        <w:rPr>
          <w:rFonts w:asciiTheme="majorHAnsi" w:hAnsiTheme="majorHAnsi"/>
          <w:sz w:val="23"/>
          <w:szCs w:val="23"/>
          <w:lang w:val="el-GR"/>
        </w:rPr>
        <w:t>τονισθεί</w:t>
      </w:r>
      <w:r w:rsidRPr="00FD527E">
        <w:rPr>
          <w:rFonts w:asciiTheme="majorHAnsi" w:hAnsiTheme="majorHAnsi"/>
          <w:sz w:val="23"/>
          <w:szCs w:val="23"/>
          <w:lang w:val="el-GR"/>
        </w:rPr>
        <w:t xml:space="preserve"> ότι οι </w:t>
      </w:r>
      <w:r w:rsidR="00546AFC" w:rsidRPr="00FD527E">
        <w:rPr>
          <w:rFonts w:asciiTheme="majorHAnsi" w:hAnsiTheme="majorHAnsi"/>
          <w:sz w:val="23"/>
          <w:szCs w:val="23"/>
          <w:lang w:val="el-GR"/>
        </w:rPr>
        <w:t xml:space="preserve">νέες </w:t>
      </w:r>
      <w:r w:rsidRPr="00FD527E">
        <w:rPr>
          <w:rFonts w:asciiTheme="majorHAnsi" w:hAnsiTheme="majorHAnsi"/>
          <w:sz w:val="23"/>
          <w:szCs w:val="23"/>
          <w:lang w:val="el-GR"/>
        </w:rPr>
        <w:t>διατάξεις εφαρμόζονται</w:t>
      </w:r>
      <w:r w:rsidR="00546AFC" w:rsidRPr="00FD527E">
        <w:rPr>
          <w:rFonts w:asciiTheme="majorHAnsi" w:hAnsiTheme="majorHAnsi"/>
          <w:sz w:val="23"/>
          <w:szCs w:val="23"/>
          <w:lang w:val="el-GR"/>
        </w:rPr>
        <w:t xml:space="preserve"> μόνο σε περίπτωση που γεννηθούν εξ ολοκλήρου απαιτήσεις μετά την έναρξη ισχύος του νόμου (17.1.2018) και συσταθεί ενέχυρο </w:t>
      </w:r>
      <w:r w:rsidR="009513B2" w:rsidRPr="00FD527E">
        <w:rPr>
          <w:rFonts w:asciiTheme="majorHAnsi" w:hAnsiTheme="majorHAnsi"/>
          <w:sz w:val="23"/>
          <w:szCs w:val="23"/>
          <w:lang w:val="el-GR"/>
        </w:rPr>
        <w:t>ή υποθήκη επί μη βεβαρημένου κατά την ημερομηνία αυτή πράγματος. Όπως αναφέρεται και στην Αιτιολογική Έκθεση, οι δύο προϋποθέσεις πρέπει να συντρέχουν σωρευτικά. Επομένως, οι νέες διατάξεις δεν αφορούν τους πλειστηριασμούς που αναμένονται το επόμενο διάστημα, δεδομένου ότι αυτοί αφορούν βασικά απαιτήσεις που γεννήθηκαν πριν από αυτή την ημερομηνία και εξασφαλίσεις που δόθηκαν επίσης πριν από αυτή την ημερομηνία. Γι’ αυτό το λόγο και ο νομοθέτης δεν κατήργησε τις υφιστάμενες διατάξεις (</w:t>
      </w:r>
      <w:proofErr w:type="spellStart"/>
      <w:r w:rsidR="009513B2" w:rsidRPr="00FD527E">
        <w:rPr>
          <w:rFonts w:asciiTheme="majorHAnsi" w:hAnsiTheme="majorHAnsi"/>
          <w:sz w:val="23"/>
          <w:szCs w:val="23"/>
          <w:lang w:val="el-GR"/>
        </w:rPr>
        <w:t>άρ</w:t>
      </w:r>
      <w:proofErr w:type="spellEnd"/>
      <w:r w:rsidR="009513B2" w:rsidRPr="00FD527E">
        <w:rPr>
          <w:rFonts w:asciiTheme="majorHAnsi" w:hAnsiTheme="majorHAnsi"/>
          <w:sz w:val="23"/>
          <w:szCs w:val="23"/>
          <w:lang w:val="el-GR"/>
        </w:rPr>
        <w:t xml:space="preserve">. 977 </w:t>
      </w:r>
      <w:proofErr w:type="spellStart"/>
      <w:r w:rsidR="009513B2" w:rsidRPr="00FD527E">
        <w:rPr>
          <w:rFonts w:asciiTheme="majorHAnsi" w:hAnsiTheme="majorHAnsi"/>
          <w:sz w:val="23"/>
          <w:szCs w:val="23"/>
          <w:lang w:val="el-GR"/>
        </w:rPr>
        <w:t>ΚΠολΔ</w:t>
      </w:r>
      <w:proofErr w:type="spellEnd"/>
      <w:r w:rsidR="009513B2" w:rsidRPr="00FD527E">
        <w:rPr>
          <w:rFonts w:asciiTheme="majorHAnsi" w:hAnsiTheme="majorHAnsi"/>
          <w:sz w:val="23"/>
          <w:szCs w:val="23"/>
          <w:lang w:val="el-GR"/>
        </w:rPr>
        <w:t xml:space="preserve"> και 156 </w:t>
      </w:r>
      <w:proofErr w:type="spellStart"/>
      <w:r w:rsidR="009513B2" w:rsidRPr="00FD527E">
        <w:rPr>
          <w:rFonts w:asciiTheme="majorHAnsi" w:hAnsiTheme="majorHAnsi"/>
          <w:sz w:val="23"/>
          <w:szCs w:val="23"/>
          <w:lang w:val="el-GR"/>
        </w:rPr>
        <w:t>ΠτωχΚ</w:t>
      </w:r>
      <w:proofErr w:type="spellEnd"/>
      <w:r w:rsidR="009513B2" w:rsidRPr="00FD527E">
        <w:rPr>
          <w:rFonts w:asciiTheme="majorHAnsi" w:hAnsiTheme="majorHAnsi"/>
          <w:sz w:val="23"/>
          <w:szCs w:val="23"/>
          <w:lang w:val="el-GR"/>
        </w:rPr>
        <w:t>), αλλά προσέθεσε τα νέα άρθρα (</w:t>
      </w:r>
      <w:proofErr w:type="spellStart"/>
      <w:r w:rsidR="009513B2" w:rsidRPr="00FD527E">
        <w:rPr>
          <w:rFonts w:asciiTheme="majorHAnsi" w:hAnsiTheme="majorHAnsi"/>
          <w:sz w:val="23"/>
          <w:szCs w:val="23"/>
          <w:lang w:val="el-GR"/>
        </w:rPr>
        <w:t>άρ</w:t>
      </w:r>
      <w:proofErr w:type="spellEnd"/>
      <w:r w:rsidR="009513B2" w:rsidRPr="00FD527E">
        <w:rPr>
          <w:rFonts w:asciiTheme="majorHAnsi" w:hAnsiTheme="majorHAnsi"/>
          <w:sz w:val="23"/>
          <w:szCs w:val="23"/>
          <w:lang w:val="el-GR"/>
        </w:rPr>
        <w:t xml:space="preserve">. 977Α </w:t>
      </w:r>
      <w:proofErr w:type="spellStart"/>
      <w:r w:rsidR="009513B2" w:rsidRPr="00FD527E">
        <w:rPr>
          <w:rFonts w:asciiTheme="majorHAnsi" w:hAnsiTheme="majorHAnsi"/>
          <w:sz w:val="23"/>
          <w:szCs w:val="23"/>
          <w:lang w:val="el-GR"/>
        </w:rPr>
        <w:t>ΚΠολΔ</w:t>
      </w:r>
      <w:proofErr w:type="spellEnd"/>
      <w:r w:rsidR="009513B2" w:rsidRPr="00FD527E">
        <w:rPr>
          <w:rFonts w:asciiTheme="majorHAnsi" w:hAnsiTheme="majorHAnsi"/>
          <w:sz w:val="23"/>
          <w:szCs w:val="23"/>
          <w:lang w:val="el-GR"/>
        </w:rPr>
        <w:t xml:space="preserve"> και 156Α </w:t>
      </w:r>
      <w:proofErr w:type="spellStart"/>
      <w:r w:rsidR="009513B2" w:rsidRPr="00FD527E">
        <w:rPr>
          <w:rFonts w:asciiTheme="majorHAnsi" w:hAnsiTheme="majorHAnsi"/>
          <w:sz w:val="23"/>
          <w:szCs w:val="23"/>
          <w:lang w:val="el-GR"/>
        </w:rPr>
        <w:t>ΠτωχΚ</w:t>
      </w:r>
      <w:proofErr w:type="spellEnd"/>
      <w:r w:rsidR="009513B2" w:rsidRPr="00FD527E">
        <w:rPr>
          <w:rFonts w:asciiTheme="majorHAnsi" w:hAnsiTheme="majorHAnsi"/>
          <w:sz w:val="23"/>
          <w:szCs w:val="23"/>
          <w:lang w:val="el-GR"/>
        </w:rPr>
        <w:t>)</w:t>
      </w:r>
      <w:r w:rsidR="008A0638" w:rsidRPr="00FD527E">
        <w:rPr>
          <w:rFonts w:asciiTheme="majorHAnsi" w:hAnsiTheme="majorHAnsi"/>
          <w:sz w:val="23"/>
          <w:szCs w:val="23"/>
          <w:lang w:val="el-GR"/>
        </w:rPr>
        <w:t>, με το σκεπτικό ότι τα δύο πλέγματα κανόνων θα εξακολουθήσουν να ισχύουν παράλληλα</w:t>
      </w:r>
      <w:r w:rsidR="009513B2" w:rsidRPr="00FD527E">
        <w:rPr>
          <w:rFonts w:asciiTheme="majorHAnsi" w:hAnsiTheme="majorHAnsi"/>
          <w:sz w:val="23"/>
          <w:szCs w:val="23"/>
          <w:lang w:val="el-GR"/>
        </w:rPr>
        <w:t>.</w:t>
      </w:r>
    </w:p>
    <w:p w:rsidR="009513B2" w:rsidRPr="00FD527E" w:rsidRDefault="009513B2" w:rsidP="00FD527E">
      <w:pPr>
        <w:jc w:val="both"/>
        <w:rPr>
          <w:rFonts w:asciiTheme="majorHAnsi" w:hAnsiTheme="majorHAnsi"/>
          <w:sz w:val="23"/>
          <w:szCs w:val="23"/>
          <w:lang w:val="el-GR"/>
        </w:rPr>
      </w:pPr>
      <w:r w:rsidRPr="00FD527E">
        <w:rPr>
          <w:rFonts w:asciiTheme="majorHAnsi" w:hAnsiTheme="majorHAnsi"/>
          <w:sz w:val="23"/>
          <w:szCs w:val="23"/>
          <w:lang w:val="el-GR"/>
        </w:rPr>
        <w:t xml:space="preserve">Η επιλογή του νομοθέτη να συνδέσει </w:t>
      </w:r>
      <w:r w:rsidR="00E63B08" w:rsidRPr="00FD527E">
        <w:rPr>
          <w:rFonts w:asciiTheme="majorHAnsi" w:hAnsiTheme="majorHAnsi"/>
          <w:sz w:val="23"/>
          <w:szCs w:val="23"/>
          <w:lang w:val="el-GR"/>
        </w:rPr>
        <w:t xml:space="preserve">την ισχύ των </w:t>
      </w:r>
      <w:r w:rsidRPr="00FD527E">
        <w:rPr>
          <w:rFonts w:asciiTheme="majorHAnsi" w:hAnsiTheme="majorHAnsi"/>
          <w:sz w:val="23"/>
          <w:szCs w:val="23"/>
          <w:lang w:val="el-GR"/>
        </w:rPr>
        <w:t>κανόν</w:t>
      </w:r>
      <w:r w:rsidR="00E63B08" w:rsidRPr="00FD527E">
        <w:rPr>
          <w:rFonts w:asciiTheme="majorHAnsi" w:hAnsiTheme="majorHAnsi"/>
          <w:sz w:val="23"/>
          <w:szCs w:val="23"/>
          <w:lang w:val="el-GR"/>
        </w:rPr>
        <w:t>ων αυτών</w:t>
      </w:r>
      <w:r w:rsidRPr="00FD527E">
        <w:rPr>
          <w:rFonts w:asciiTheme="majorHAnsi" w:hAnsiTheme="majorHAnsi"/>
          <w:sz w:val="23"/>
          <w:szCs w:val="23"/>
          <w:lang w:val="el-GR"/>
        </w:rPr>
        <w:t xml:space="preserve"> με την ουσιαστική έννομη σχέση </w:t>
      </w:r>
      <w:r w:rsidR="00E63B08" w:rsidRPr="00FD527E">
        <w:rPr>
          <w:rFonts w:asciiTheme="majorHAnsi" w:hAnsiTheme="majorHAnsi"/>
          <w:sz w:val="23"/>
          <w:szCs w:val="23"/>
          <w:lang w:val="el-GR"/>
        </w:rPr>
        <w:t>αφίσταται</w:t>
      </w:r>
      <w:r w:rsidRPr="00FD527E">
        <w:rPr>
          <w:rFonts w:asciiTheme="majorHAnsi" w:hAnsiTheme="majorHAnsi"/>
          <w:sz w:val="23"/>
          <w:szCs w:val="23"/>
          <w:lang w:val="el-GR"/>
        </w:rPr>
        <w:t xml:space="preserve"> από την ως τώρα αντίληψη ότι οι κανόνες αυτοί – αν και αναφέρονται σε ουσιαστικές έννομες σχέσεις – έχουν δικονομικό χαρακτήρα. Έτσι, οι κανόνες του </w:t>
      </w:r>
      <w:proofErr w:type="spellStart"/>
      <w:r w:rsidRPr="00FD527E">
        <w:rPr>
          <w:rFonts w:asciiTheme="majorHAnsi" w:hAnsiTheme="majorHAnsi"/>
          <w:sz w:val="23"/>
          <w:szCs w:val="23"/>
          <w:lang w:val="el-GR"/>
        </w:rPr>
        <w:t>άρ</w:t>
      </w:r>
      <w:proofErr w:type="spellEnd"/>
      <w:r w:rsidRPr="00FD527E">
        <w:rPr>
          <w:rFonts w:asciiTheme="majorHAnsi" w:hAnsiTheme="majorHAnsi"/>
          <w:sz w:val="23"/>
          <w:szCs w:val="23"/>
          <w:lang w:val="el-GR"/>
        </w:rPr>
        <w:t xml:space="preserve">. 977 </w:t>
      </w:r>
      <w:proofErr w:type="spellStart"/>
      <w:r w:rsidRPr="00FD527E">
        <w:rPr>
          <w:rFonts w:asciiTheme="majorHAnsi" w:hAnsiTheme="majorHAnsi"/>
          <w:sz w:val="23"/>
          <w:szCs w:val="23"/>
          <w:lang w:val="el-GR"/>
        </w:rPr>
        <w:t>ΚΠολΔ</w:t>
      </w:r>
      <w:proofErr w:type="spellEnd"/>
      <w:r w:rsidRPr="00FD527E">
        <w:rPr>
          <w:rFonts w:asciiTheme="majorHAnsi" w:hAnsiTheme="majorHAnsi"/>
          <w:sz w:val="23"/>
          <w:szCs w:val="23"/>
          <w:lang w:val="el-GR"/>
        </w:rPr>
        <w:t xml:space="preserve">, ως αυτό έχει μετά το ν. 4335/2015, εφαρμόζονται κατά κρατούσα γνώμη εφόσον η επιταγή προς εκτέλεση διενεργείται μετά </w:t>
      </w:r>
      <w:r w:rsidR="00E63B08" w:rsidRPr="00FD527E">
        <w:rPr>
          <w:rFonts w:asciiTheme="majorHAnsi" w:hAnsiTheme="majorHAnsi"/>
          <w:sz w:val="23"/>
          <w:szCs w:val="23"/>
          <w:lang w:val="el-GR"/>
        </w:rPr>
        <w:t xml:space="preserve">την 1.1.2016 (κατά τη σχετική μεταβατική διάταξη του ν. 4335/2015). Κατ’ άλλη άποψη, κρίσιμος είναι ο νόμος που ισχύει κατά τον χρόνο κατάταξης (κατά τα κριθέντα με την </w:t>
      </w:r>
      <w:proofErr w:type="spellStart"/>
      <w:r w:rsidR="00E63B08" w:rsidRPr="00FD527E">
        <w:rPr>
          <w:rFonts w:asciiTheme="majorHAnsi" w:hAnsiTheme="majorHAnsi"/>
          <w:sz w:val="23"/>
          <w:szCs w:val="23"/>
          <w:lang w:val="el-GR"/>
        </w:rPr>
        <w:t>ΟλΑΠ</w:t>
      </w:r>
      <w:proofErr w:type="spellEnd"/>
      <w:r w:rsidR="00E63B08" w:rsidRPr="00FD527E">
        <w:rPr>
          <w:rFonts w:asciiTheme="majorHAnsi" w:hAnsiTheme="majorHAnsi"/>
          <w:sz w:val="23"/>
          <w:szCs w:val="23"/>
          <w:lang w:val="el-GR"/>
        </w:rPr>
        <w:t xml:space="preserve"> 21/1994). Πάντως, καμία νομοθετική πρόβλεψη ως τώρα δεν είχε συνδέσει διάταξη περί κατάταξης πιστωτών με τον χρόνο γέννησης της απαίτησης. Η παράλληλη ισχύς δύο συστημάτων </w:t>
      </w:r>
      <w:r w:rsidR="008A0638" w:rsidRPr="00FD527E">
        <w:rPr>
          <w:rFonts w:asciiTheme="majorHAnsi" w:hAnsiTheme="majorHAnsi"/>
          <w:sz w:val="23"/>
          <w:szCs w:val="23"/>
          <w:lang w:val="el-GR"/>
        </w:rPr>
        <w:t>είναι από μόνη της σύνθετη νομοθετική σύλληψη</w:t>
      </w:r>
      <w:r w:rsidR="00E63B08" w:rsidRPr="00FD527E">
        <w:rPr>
          <w:rFonts w:asciiTheme="majorHAnsi" w:hAnsiTheme="majorHAnsi"/>
          <w:sz w:val="23"/>
          <w:szCs w:val="23"/>
          <w:lang w:val="el-GR"/>
        </w:rPr>
        <w:t xml:space="preserve">. Αν, για παράδειγμα, δημιουργηθούν απαιτήσεις μετά την 17.1.2018, όμως δεν συσταθεί εμπράγματη εξασφάλιση </w:t>
      </w:r>
      <w:r w:rsidR="00E15AF2" w:rsidRPr="00FD527E">
        <w:rPr>
          <w:rFonts w:asciiTheme="majorHAnsi" w:hAnsiTheme="majorHAnsi"/>
          <w:sz w:val="23"/>
          <w:szCs w:val="23"/>
          <w:lang w:val="el-GR"/>
        </w:rPr>
        <w:t>επί</w:t>
      </w:r>
      <w:r w:rsidR="00E63B08" w:rsidRPr="00FD527E">
        <w:rPr>
          <w:rFonts w:asciiTheme="majorHAnsi" w:hAnsiTheme="majorHAnsi"/>
          <w:sz w:val="23"/>
          <w:szCs w:val="23"/>
          <w:lang w:val="el-GR"/>
        </w:rPr>
        <w:t xml:space="preserve"> πράγματος του οφειλέτη, εξακολουθούν να ισχύουν οι παλαιοί κανόνες.</w:t>
      </w:r>
    </w:p>
    <w:p w:rsidR="00E63B08" w:rsidRPr="00FD527E" w:rsidRDefault="008A0638" w:rsidP="00FD527E">
      <w:pPr>
        <w:jc w:val="both"/>
        <w:rPr>
          <w:rFonts w:asciiTheme="majorHAnsi" w:hAnsiTheme="majorHAnsi"/>
          <w:sz w:val="23"/>
          <w:szCs w:val="23"/>
          <w:lang w:val="el-GR"/>
        </w:rPr>
      </w:pPr>
      <w:r w:rsidRPr="00FD527E">
        <w:rPr>
          <w:rFonts w:asciiTheme="majorHAnsi" w:hAnsiTheme="majorHAnsi"/>
          <w:sz w:val="23"/>
          <w:szCs w:val="23"/>
          <w:lang w:val="el-GR"/>
        </w:rPr>
        <w:lastRenderedPageBreak/>
        <w:t xml:space="preserve">Ως προς το περιεχόμενο των μεταρρυθμίσεων, χωρίς να γίνεται στο παρόν αναλυτική παρουσίαση, παρατηρείται ότι ο νομοθέτης καταργεί το σύστημα κατανομής του </w:t>
      </w:r>
      <w:proofErr w:type="spellStart"/>
      <w:r w:rsidRPr="00FD527E">
        <w:rPr>
          <w:rFonts w:asciiTheme="majorHAnsi" w:hAnsiTheme="majorHAnsi"/>
          <w:sz w:val="23"/>
          <w:szCs w:val="23"/>
          <w:lang w:val="el-GR"/>
        </w:rPr>
        <w:t>πλειστηριάσματος</w:t>
      </w:r>
      <w:proofErr w:type="spellEnd"/>
      <w:r w:rsidRPr="00FD527E">
        <w:rPr>
          <w:rFonts w:asciiTheme="majorHAnsi" w:hAnsiTheme="majorHAnsi"/>
          <w:sz w:val="23"/>
          <w:szCs w:val="23"/>
          <w:lang w:val="el-GR"/>
        </w:rPr>
        <w:t xml:space="preserve">. Έτσι, το </w:t>
      </w:r>
      <w:proofErr w:type="spellStart"/>
      <w:r w:rsidRPr="00FD527E">
        <w:rPr>
          <w:rFonts w:asciiTheme="majorHAnsi" w:hAnsiTheme="majorHAnsi"/>
          <w:sz w:val="23"/>
          <w:szCs w:val="23"/>
          <w:lang w:val="el-GR"/>
        </w:rPr>
        <w:t>πλειστηρίασμα</w:t>
      </w:r>
      <w:proofErr w:type="spellEnd"/>
      <w:r w:rsidRPr="00FD527E">
        <w:rPr>
          <w:rFonts w:asciiTheme="majorHAnsi" w:hAnsiTheme="majorHAnsi"/>
          <w:sz w:val="23"/>
          <w:szCs w:val="23"/>
          <w:lang w:val="el-GR"/>
        </w:rPr>
        <w:t xml:space="preserve"> δεν κατανέμεται με ποσοστά στους γενικούς προνομιούχους, τους ειδικούς προνομιούχους και τους μη προνομιούχους, αλλά δημιουργούνται κατηγορίες πιστωτών, που κάθε μία ικανοποιείται μόνο αν ικανοποιηθεί η προηγούμενη. </w:t>
      </w:r>
      <w:r w:rsidR="00A3396D">
        <w:rPr>
          <w:rFonts w:asciiTheme="majorHAnsi" w:hAnsiTheme="majorHAnsi"/>
          <w:sz w:val="23"/>
          <w:szCs w:val="23"/>
          <w:lang w:val="el-GR"/>
        </w:rPr>
        <w:t>Εντός της κατηγορίας των</w:t>
      </w:r>
      <w:r w:rsidR="00FD527E" w:rsidRPr="00FD527E">
        <w:rPr>
          <w:rFonts w:asciiTheme="majorHAnsi" w:hAnsiTheme="majorHAnsi"/>
          <w:sz w:val="23"/>
          <w:szCs w:val="23"/>
          <w:lang w:val="el-GR"/>
        </w:rPr>
        <w:t xml:space="preserve"> γενικών προνομιούχων</w:t>
      </w:r>
      <w:r w:rsidR="00A3396D">
        <w:rPr>
          <w:rFonts w:asciiTheme="majorHAnsi" w:hAnsiTheme="majorHAnsi"/>
          <w:sz w:val="23"/>
          <w:szCs w:val="23"/>
          <w:lang w:val="el-GR"/>
        </w:rPr>
        <w:t>, οι τάξεις αυτών</w:t>
      </w:r>
      <w:r w:rsidR="00FD527E" w:rsidRPr="00FD527E">
        <w:rPr>
          <w:rFonts w:asciiTheme="majorHAnsi" w:hAnsiTheme="majorHAnsi"/>
          <w:sz w:val="23"/>
          <w:szCs w:val="23"/>
          <w:lang w:val="el-GR"/>
        </w:rPr>
        <w:t xml:space="preserve"> (</w:t>
      </w:r>
      <w:proofErr w:type="spellStart"/>
      <w:r w:rsidR="00FD527E" w:rsidRPr="00FD527E">
        <w:rPr>
          <w:rFonts w:asciiTheme="majorHAnsi" w:hAnsiTheme="majorHAnsi"/>
          <w:sz w:val="23"/>
          <w:szCs w:val="23"/>
          <w:lang w:val="el-GR"/>
        </w:rPr>
        <w:t>άρ</w:t>
      </w:r>
      <w:proofErr w:type="spellEnd"/>
      <w:r w:rsidR="00FD527E" w:rsidRPr="00FD527E">
        <w:rPr>
          <w:rFonts w:asciiTheme="majorHAnsi" w:hAnsiTheme="majorHAnsi"/>
          <w:sz w:val="23"/>
          <w:szCs w:val="23"/>
          <w:lang w:val="el-GR"/>
        </w:rPr>
        <w:t xml:space="preserve">. 975 </w:t>
      </w:r>
      <w:proofErr w:type="spellStart"/>
      <w:r w:rsidR="00FD527E" w:rsidRPr="00FD527E">
        <w:rPr>
          <w:rFonts w:asciiTheme="majorHAnsi" w:hAnsiTheme="majorHAnsi"/>
          <w:sz w:val="23"/>
          <w:szCs w:val="23"/>
          <w:lang w:val="el-GR"/>
        </w:rPr>
        <w:t>ΚΠολΔ</w:t>
      </w:r>
      <w:proofErr w:type="spellEnd"/>
      <w:r w:rsidR="00FD527E" w:rsidRPr="00FD527E">
        <w:rPr>
          <w:rFonts w:asciiTheme="majorHAnsi" w:hAnsiTheme="majorHAnsi"/>
          <w:sz w:val="23"/>
          <w:szCs w:val="23"/>
          <w:lang w:val="el-GR"/>
        </w:rPr>
        <w:t>) παραμένουν ανεπηρέαστες. Ειδικότερα, κ</w:t>
      </w:r>
      <w:r w:rsidR="00E15AF2" w:rsidRPr="00FD527E">
        <w:rPr>
          <w:rFonts w:asciiTheme="majorHAnsi" w:hAnsiTheme="majorHAnsi"/>
          <w:sz w:val="23"/>
          <w:szCs w:val="23"/>
          <w:lang w:val="el-GR"/>
        </w:rPr>
        <w:t xml:space="preserve">ατά το </w:t>
      </w:r>
      <w:proofErr w:type="spellStart"/>
      <w:r w:rsidR="00E15AF2" w:rsidRPr="00FD527E">
        <w:rPr>
          <w:rFonts w:asciiTheme="majorHAnsi" w:hAnsiTheme="majorHAnsi"/>
          <w:sz w:val="23"/>
          <w:szCs w:val="23"/>
          <w:lang w:val="el-GR"/>
        </w:rPr>
        <w:t>άρ</w:t>
      </w:r>
      <w:proofErr w:type="spellEnd"/>
      <w:r w:rsidR="00E15AF2" w:rsidRPr="00FD527E">
        <w:rPr>
          <w:rFonts w:asciiTheme="majorHAnsi" w:hAnsiTheme="majorHAnsi"/>
          <w:sz w:val="23"/>
          <w:szCs w:val="23"/>
          <w:lang w:val="el-GR"/>
        </w:rPr>
        <w:t xml:space="preserve">. 977Α </w:t>
      </w:r>
      <w:proofErr w:type="spellStart"/>
      <w:r w:rsidR="00E15AF2" w:rsidRPr="00FD527E">
        <w:rPr>
          <w:rFonts w:asciiTheme="majorHAnsi" w:hAnsiTheme="majorHAnsi"/>
          <w:sz w:val="23"/>
          <w:szCs w:val="23"/>
          <w:lang w:val="el-GR"/>
        </w:rPr>
        <w:t>ΚΠολΔ</w:t>
      </w:r>
      <w:proofErr w:type="spellEnd"/>
      <w:r w:rsidR="00E15AF2" w:rsidRPr="00FD527E">
        <w:rPr>
          <w:rFonts w:asciiTheme="majorHAnsi" w:hAnsiTheme="majorHAnsi"/>
          <w:sz w:val="23"/>
          <w:szCs w:val="23"/>
          <w:lang w:val="el-GR"/>
        </w:rPr>
        <w:t>, πρώτες («</w:t>
      </w:r>
      <w:proofErr w:type="spellStart"/>
      <w:r w:rsidR="00E15AF2" w:rsidRPr="00FD527E">
        <w:rPr>
          <w:rFonts w:asciiTheme="majorHAnsi" w:hAnsiTheme="majorHAnsi"/>
          <w:sz w:val="23"/>
          <w:szCs w:val="23"/>
          <w:lang w:val="el-GR"/>
        </w:rPr>
        <w:t>υπερ</w:t>
      </w:r>
      <w:proofErr w:type="spellEnd"/>
      <w:r w:rsidR="00E15AF2" w:rsidRPr="00FD527E">
        <w:rPr>
          <w:rFonts w:asciiTheme="majorHAnsi" w:hAnsiTheme="majorHAnsi"/>
          <w:sz w:val="23"/>
          <w:szCs w:val="23"/>
          <w:lang w:val="el-GR"/>
        </w:rPr>
        <w:t xml:space="preserve">-προνομιούχες») είναι οι απαιτήσεις εργαζομένων (όμως, μόνο των τελευταίων 6 μηνών, και με </w:t>
      </w:r>
      <w:r w:rsidR="00A3396D">
        <w:rPr>
          <w:rFonts w:asciiTheme="majorHAnsi" w:hAnsiTheme="majorHAnsi"/>
          <w:sz w:val="23"/>
          <w:szCs w:val="23"/>
          <w:lang w:val="el-GR"/>
        </w:rPr>
        <w:t xml:space="preserve">ορισμένο </w:t>
      </w:r>
      <w:r w:rsidR="00E15AF2" w:rsidRPr="00FD527E">
        <w:rPr>
          <w:rFonts w:asciiTheme="majorHAnsi" w:hAnsiTheme="majorHAnsi"/>
          <w:sz w:val="23"/>
          <w:szCs w:val="23"/>
          <w:lang w:val="el-GR"/>
        </w:rPr>
        <w:t xml:space="preserve">ανώτατο όριο, σε αντίθεση με το </w:t>
      </w:r>
      <w:proofErr w:type="spellStart"/>
      <w:r w:rsidR="00E15AF2" w:rsidRPr="00FD527E">
        <w:rPr>
          <w:rFonts w:asciiTheme="majorHAnsi" w:hAnsiTheme="majorHAnsi"/>
          <w:sz w:val="23"/>
          <w:szCs w:val="23"/>
          <w:lang w:val="el-GR"/>
        </w:rPr>
        <w:t>άρ</w:t>
      </w:r>
      <w:proofErr w:type="spellEnd"/>
      <w:r w:rsidR="00E15AF2" w:rsidRPr="00FD527E">
        <w:rPr>
          <w:rFonts w:asciiTheme="majorHAnsi" w:hAnsiTheme="majorHAnsi"/>
          <w:sz w:val="23"/>
          <w:szCs w:val="23"/>
          <w:lang w:val="el-GR"/>
        </w:rPr>
        <w:t xml:space="preserve">. 975 </w:t>
      </w:r>
      <w:proofErr w:type="spellStart"/>
      <w:r w:rsidR="00E15AF2" w:rsidRPr="00FD527E">
        <w:rPr>
          <w:rFonts w:asciiTheme="majorHAnsi" w:hAnsiTheme="majorHAnsi"/>
          <w:sz w:val="23"/>
          <w:szCs w:val="23"/>
          <w:lang w:val="el-GR"/>
        </w:rPr>
        <w:t>περ</w:t>
      </w:r>
      <w:proofErr w:type="spellEnd"/>
      <w:r w:rsidR="00E15AF2" w:rsidRPr="00FD527E">
        <w:rPr>
          <w:rFonts w:asciiTheme="majorHAnsi" w:hAnsiTheme="majorHAnsi"/>
          <w:sz w:val="23"/>
          <w:szCs w:val="23"/>
          <w:lang w:val="el-GR"/>
        </w:rPr>
        <w:t xml:space="preserve">. 3 </w:t>
      </w:r>
      <w:proofErr w:type="spellStart"/>
      <w:r w:rsidR="00E15AF2" w:rsidRPr="00FD527E">
        <w:rPr>
          <w:rFonts w:asciiTheme="majorHAnsi" w:hAnsiTheme="majorHAnsi"/>
          <w:sz w:val="23"/>
          <w:szCs w:val="23"/>
          <w:lang w:val="el-GR"/>
        </w:rPr>
        <w:t>ΚΠολΔ</w:t>
      </w:r>
      <w:proofErr w:type="spellEnd"/>
      <w:r w:rsidR="00E15AF2" w:rsidRPr="00FD527E">
        <w:rPr>
          <w:rFonts w:asciiTheme="majorHAnsi" w:hAnsiTheme="majorHAnsi"/>
          <w:sz w:val="23"/>
          <w:szCs w:val="23"/>
          <w:lang w:val="el-GR"/>
        </w:rPr>
        <w:t>, που αν</w:t>
      </w:r>
      <w:r w:rsidR="00A3396D">
        <w:rPr>
          <w:rFonts w:asciiTheme="majorHAnsi" w:hAnsiTheme="majorHAnsi"/>
          <w:sz w:val="23"/>
          <w:szCs w:val="23"/>
          <w:lang w:val="el-GR"/>
        </w:rPr>
        <w:t>αφέρεται</w:t>
      </w:r>
      <w:r w:rsidR="00E15AF2" w:rsidRPr="00FD527E">
        <w:rPr>
          <w:rFonts w:asciiTheme="majorHAnsi" w:hAnsiTheme="majorHAnsi"/>
          <w:sz w:val="23"/>
          <w:szCs w:val="23"/>
          <w:lang w:val="el-GR"/>
        </w:rPr>
        <w:t xml:space="preserve"> στην τελευταία διετία πριν τον πλειστηριασμό). Ακολουθούν οι απαιτήσεις του </w:t>
      </w:r>
      <w:proofErr w:type="spellStart"/>
      <w:r w:rsidR="00E15AF2" w:rsidRPr="00FD527E">
        <w:rPr>
          <w:rFonts w:asciiTheme="majorHAnsi" w:hAnsiTheme="majorHAnsi"/>
          <w:sz w:val="23"/>
          <w:szCs w:val="23"/>
          <w:lang w:val="el-GR"/>
        </w:rPr>
        <w:t>άρ</w:t>
      </w:r>
      <w:proofErr w:type="spellEnd"/>
      <w:r w:rsidR="00E15AF2" w:rsidRPr="00FD527E">
        <w:rPr>
          <w:rFonts w:asciiTheme="majorHAnsi" w:hAnsiTheme="majorHAnsi"/>
          <w:sz w:val="23"/>
          <w:szCs w:val="23"/>
          <w:lang w:val="el-GR"/>
        </w:rPr>
        <w:t xml:space="preserve">. 976 αρ. 1 και 2 (δηλ. ο κύριος όγκος των απαιτήσεων των ειδικών προνομιούχων), στη συνέχεια οι απαιτήσεις των γενικών προνομιούχων μαζί με τις απαιτήσεις του </w:t>
      </w:r>
      <w:proofErr w:type="spellStart"/>
      <w:r w:rsidR="00E15AF2" w:rsidRPr="00FD527E">
        <w:rPr>
          <w:rFonts w:asciiTheme="majorHAnsi" w:hAnsiTheme="majorHAnsi"/>
          <w:sz w:val="23"/>
          <w:szCs w:val="23"/>
          <w:lang w:val="el-GR"/>
        </w:rPr>
        <w:t>άρ</w:t>
      </w:r>
      <w:proofErr w:type="spellEnd"/>
      <w:r w:rsidR="00E15AF2" w:rsidRPr="00FD527E">
        <w:rPr>
          <w:rFonts w:asciiTheme="majorHAnsi" w:hAnsiTheme="majorHAnsi"/>
          <w:sz w:val="23"/>
          <w:szCs w:val="23"/>
          <w:lang w:val="el-GR"/>
        </w:rPr>
        <w:t>. 976 αρ. 3, και τέλος οι μη προνομιούχες απαιτήσεις.</w:t>
      </w:r>
    </w:p>
    <w:p w:rsidR="00FD527E" w:rsidRPr="00FD527E" w:rsidRDefault="00FD527E" w:rsidP="00FD527E">
      <w:pPr>
        <w:jc w:val="both"/>
        <w:rPr>
          <w:rFonts w:asciiTheme="majorHAnsi" w:hAnsiTheme="majorHAnsi"/>
          <w:sz w:val="23"/>
          <w:szCs w:val="23"/>
          <w:lang w:val="el-GR"/>
        </w:rPr>
      </w:pPr>
      <w:r w:rsidRPr="00FD527E">
        <w:rPr>
          <w:rFonts w:asciiTheme="majorHAnsi" w:hAnsiTheme="majorHAnsi"/>
          <w:sz w:val="23"/>
          <w:szCs w:val="23"/>
          <w:lang w:val="el-GR"/>
        </w:rPr>
        <w:t xml:space="preserve">Ακολουθεί </w:t>
      </w:r>
      <w:r w:rsidR="00E15AF2" w:rsidRPr="00FD527E">
        <w:rPr>
          <w:rFonts w:asciiTheme="majorHAnsi" w:hAnsiTheme="majorHAnsi"/>
          <w:sz w:val="23"/>
          <w:szCs w:val="23"/>
          <w:lang w:val="el-GR"/>
        </w:rPr>
        <w:t>ένα απλό παράδειγμα</w:t>
      </w:r>
      <w:r w:rsidRPr="00FD527E">
        <w:rPr>
          <w:rFonts w:asciiTheme="majorHAnsi" w:hAnsiTheme="majorHAnsi"/>
          <w:sz w:val="23"/>
          <w:szCs w:val="23"/>
          <w:lang w:val="el-GR"/>
        </w:rPr>
        <w:t xml:space="preserve"> ικανοποίησης των πιστωτών, στο οποίο υποθέτουμε ότι δεν υφίστανται έξοδα εκτέλεσης, ότι το προς διανομή ποσό είναι 60 και το ύψος των απαιτήσεων 100:</w:t>
      </w:r>
    </w:p>
    <w:tbl>
      <w:tblPr>
        <w:tblW w:w="7452" w:type="dxa"/>
        <w:jc w:val="center"/>
        <w:tblCellMar>
          <w:left w:w="0" w:type="dxa"/>
          <w:right w:w="0" w:type="dxa"/>
        </w:tblCellMar>
        <w:tblLook w:val="04A0"/>
      </w:tblPr>
      <w:tblGrid>
        <w:gridCol w:w="1576"/>
        <w:gridCol w:w="1348"/>
        <w:gridCol w:w="1620"/>
        <w:gridCol w:w="1270"/>
        <w:gridCol w:w="1638"/>
      </w:tblGrid>
      <w:tr w:rsidR="00FD527E" w:rsidRPr="00E93A27" w:rsidTr="00FD527E">
        <w:trPr>
          <w:trHeight w:val="538"/>
          <w:jc w:val="center"/>
        </w:trPr>
        <w:tc>
          <w:tcPr>
            <w:tcW w:w="157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sidRPr="00152F11">
              <w:rPr>
                <w:rFonts w:asciiTheme="majorHAnsi" w:hAnsiTheme="majorHAnsi"/>
                <w:b/>
                <w:bCs/>
                <w:lang w:val="el-GR"/>
              </w:rPr>
              <w:t>Πιστωτής</w:t>
            </w:r>
            <w:r w:rsidRPr="00152F11">
              <w:rPr>
                <w:rFonts w:asciiTheme="majorHAnsi" w:hAnsiTheme="majorHAnsi"/>
                <w:b/>
                <w:bCs/>
              </w:rPr>
              <w:t xml:space="preserve"> </w:t>
            </w:r>
          </w:p>
        </w:tc>
        <w:tc>
          <w:tcPr>
            <w:tcW w:w="134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sidRPr="00152F11">
              <w:rPr>
                <w:rFonts w:asciiTheme="majorHAnsi" w:hAnsiTheme="majorHAnsi"/>
                <w:b/>
                <w:bCs/>
                <w:lang w:val="el-GR"/>
              </w:rPr>
              <w:t>Ύψος οφειλής</w:t>
            </w:r>
            <w:r w:rsidRPr="00152F11">
              <w:rPr>
                <w:rFonts w:asciiTheme="majorHAnsi" w:hAnsiTheme="majorHAnsi"/>
                <w:b/>
                <w:bCs/>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Pr>
                <w:rFonts w:asciiTheme="majorHAnsi" w:hAnsiTheme="majorHAnsi"/>
                <w:b/>
                <w:bCs/>
                <w:lang w:val="el-GR"/>
              </w:rPr>
              <w:t>Π</w:t>
            </w:r>
            <w:r w:rsidRPr="00152F11">
              <w:rPr>
                <w:rFonts w:asciiTheme="majorHAnsi" w:hAnsiTheme="majorHAnsi"/>
                <w:b/>
                <w:bCs/>
                <w:lang w:val="el-GR"/>
              </w:rPr>
              <w:t xml:space="preserve">ρο </w:t>
            </w:r>
          </w:p>
          <w:p w:rsidR="00FD527E" w:rsidRPr="00152F11" w:rsidRDefault="00FD527E" w:rsidP="00A96EF9">
            <w:pPr>
              <w:spacing w:after="0" w:line="240" w:lineRule="auto"/>
              <w:rPr>
                <w:rFonts w:asciiTheme="majorHAnsi" w:hAnsiTheme="majorHAnsi"/>
              </w:rPr>
            </w:pPr>
            <w:r w:rsidRPr="00152F11">
              <w:rPr>
                <w:rFonts w:asciiTheme="majorHAnsi" w:hAnsiTheme="majorHAnsi"/>
                <w:b/>
                <w:bCs/>
                <w:lang w:val="el-GR"/>
              </w:rPr>
              <w:t>Ν. 4335</w:t>
            </w:r>
          </w:p>
        </w:tc>
        <w:tc>
          <w:tcPr>
            <w:tcW w:w="127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Pr>
                <w:rFonts w:asciiTheme="majorHAnsi" w:hAnsiTheme="majorHAnsi"/>
                <w:b/>
                <w:bCs/>
                <w:lang w:val="el-GR"/>
              </w:rPr>
              <w:t>Μ</w:t>
            </w:r>
            <w:r w:rsidRPr="00152F11">
              <w:rPr>
                <w:rFonts w:asciiTheme="majorHAnsi" w:hAnsiTheme="majorHAnsi"/>
                <w:b/>
                <w:bCs/>
                <w:lang w:val="el-GR"/>
              </w:rPr>
              <w:t xml:space="preserve">ετά </w:t>
            </w:r>
          </w:p>
          <w:p w:rsidR="00FD527E" w:rsidRPr="00152F11" w:rsidRDefault="00FD527E" w:rsidP="00A96EF9">
            <w:pPr>
              <w:spacing w:after="0" w:line="240" w:lineRule="auto"/>
              <w:rPr>
                <w:rFonts w:asciiTheme="majorHAnsi" w:hAnsiTheme="majorHAnsi"/>
              </w:rPr>
            </w:pPr>
            <w:r w:rsidRPr="00152F11">
              <w:rPr>
                <w:rFonts w:asciiTheme="majorHAnsi" w:hAnsiTheme="majorHAnsi"/>
                <w:b/>
                <w:bCs/>
                <w:lang w:val="el-GR"/>
              </w:rPr>
              <w:t>Ν. 4335</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Pr>
          <w:p w:rsidR="00FD527E" w:rsidRDefault="00FD527E" w:rsidP="00FD527E">
            <w:pPr>
              <w:spacing w:after="0" w:line="240" w:lineRule="auto"/>
              <w:ind w:left="90"/>
              <w:rPr>
                <w:rFonts w:asciiTheme="majorHAnsi" w:hAnsiTheme="majorHAnsi"/>
                <w:b/>
                <w:bCs/>
                <w:lang w:val="el-GR"/>
              </w:rPr>
            </w:pPr>
            <w:r>
              <w:rPr>
                <w:rFonts w:asciiTheme="majorHAnsi" w:hAnsiTheme="majorHAnsi"/>
                <w:b/>
                <w:bCs/>
                <w:lang w:val="el-GR"/>
              </w:rPr>
              <w:t>Με εφαρμογή</w:t>
            </w:r>
          </w:p>
          <w:p w:rsidR="00FD527E" w:rsidRPr="00152F11" w:rsidRDefault="00FD527E" w:rsidP="00FD527E">
            <w:pPr>
              <w:spacing w:after="0" w:line="240" w:lineRule="auto"/>
              <w:ind w:left="90"/>
              <w:rPr>
                <w:rFonts w:asciiTheme="majorHAnsi" w:hAnsiTheme="majorHAnsi"/>
                <w:b/>
                <w:bCs/>
                <w:lang w:val="el-GR"/>
              </w:rPr>
            </w:pPr>
            <w:r>
              <w:rPr>
                <w:rFonts w:asciiTheme="majorHAnsi" w:hAnsiTheme="majorHAnsi"/>
                <w:b/>
                <w:bCs/>
                <w:lang w:val="el-GR"/>
              </w:rPr>
              <w:t>Ν. 4512</w:t>
            </w:r>
          </w:p>
        </w:tc>
      </w:tr>
      <w:tr w:rsidR="00FD527E" w:rsidRPr="00E93A27" w:rsidTr="00FD527E">
        <w:trPr>
          <w:trHeight w:val="376"/>
          <w:jc w:val="center"/>
        </w:trPr>
        <w:tc>
          <w:tcPr>
            <w:tcW w:w="157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sidRPr="00152F11">
              <w:rPr>
                <w:rFonts w:asciiTheme="majorHAnsi" w:hAnsiTheme="majorHAnsi"/>
                <w:lang w:val="el-GR"/>
              </w:rPr>
              <w:t>ΦΠΑ</w:t>
            </w:r>
            <w:r w:rsidRPr="00152F11">
              <w:rPr>
                <w:rFonts w:asciiTheme="majorHAnsi" w:hAnsiTheme="majorHAnsi"/>
              </w:rPr>
              <w:t xml:space="preserve"> </w:t>
            </w:r>
          </w:p>
        </w:tc>
        <w:tc>
          <w:tcPr>
            <w:tcW w:w="134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5</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5</w:t>
            </w:r>
          </w:p>
        </w:tc>
        <w:tc>
          <w:tcPr>
            <w:tcW w:w="127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3</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Pr>
          <w:p w:rsidR="00FD527E" w:rsidRPr="00FD527E" w:rsidRDefault="00FD527E" w:rsidP="00FD527E">
            <w:pPr>
              <w:spacing w:after="0" w:line="240" w:lineRule="auto"/>
              <w:ind w:left="90"/>
              <w:jc w:val="center"/>
              <w:rPr>
                <w:rFonts w:asciiTheme="majorHAnsi" w:hAnsiTheme="majorHAnsi"/>
                <w:lang w:val="el-GR"/>
              </w:rPr>
            </w:pPr>
            <w:r w:rsidRPr="00FD527E">
              <w:rPr>
                <w:rFonts w:asciiTheme="majorHAnsi" w:hAnsiTheme="majorHAnsi"/>
                <w:lang w:val="el-GR"/>
              </w:rPr>
              <w:t>3,75</w:t>
            </w:r>
          </w:p>
        </w:tc>
      </w:tr>
      <w:tr w:rsidR="00FD527E" w:rsidRPr="00E93A27" w:rsidTr="00FD527E">
        <w:trPr>
          <w:trHeight w:val="376"/>
          <w:jc w:val="center"/>
        </w:trPr>
        <w:tc>
          <w:tcPr>
            <w:tcW w:w="157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sidRPr="00152F11">
              <w:rPr>
                <w:rFonts w:asciiTheme="majorHAnsi" w:hAnsiTheme="majorHAnsi"/>
                <w:lang w:val="el-GR"/>
              </w:rPr>
              <w:t>Εργαζόμενοι</w:t>
            </w:r>
            <w:r w:rsidRPr="00152F11">
              <w:rPr>
                <w:rFonts w:asciiTheme="majorHAnsi" w:hAnsiTheme="majorHAnsi"/>
              </w:rPr>
              <w:t xml:space="preserve"> </w:t>
            </w:r>
          </w:p>
        </w:tc>
        <w:tc>
          <w:tcPr>
            <w:tcW w:w="134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lang w:val="el-GR"/>
              </w:rPr>
            </w:pPr>
            <w:r w:rsidRPr="00FD527E">
              <w:rPr>
                <w:rFonts w:asciiTheme="majorHAnsi" w:hAnsiTheme="majorHAnsi"/>
                <w:lang w:val="el-GR"/>
              </w:rPr>
              <w:t>10</w:t>
            </w:r>
            <w:r w:rsidRPr="00FD527E">
              <w:rPr>
                <w:rFonts w:asciiTheme="majorHAnsi" w:hAnsiTheme="majorHAnsi"/>
              </w:rPr>
              <w:t xml:space="preserve"> </w:t>
            </w:r>
            <w:r w:rsidRPr="00FD527E">
              <w:rPr>
                <w:rFonts w:asciiTheme="majorHAnsi" w:hAnsiTheme="majorHAnsi"/>
                <w:lang w:val="el-GR"/>
              </w:rPr>
              <w:t>*</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10</w:t>
            </w:r>
          </w:p>
        </w:tc>
        <w:tc>
          <w:tcPr>
            <w:tcW w:w="127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6</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Pr>
          <w:p w:rsidR="00FD527E" w:rsidRPr="00FD527E" w:rsidRDefault="00FD527E" w:rsidP="00FD527E">
            <w:pPr>
              <w:spacing w:after="0" w:line="240" w:lineRule="auto"/>
              <w:ind w:left="90"/>
              <w:jc w:val="center"/>
              <w:rPr>
                <w:rFonts w:asciiTheme="majorHAnsi" w:hAnsiTheme="majorHAnsi"/>
                <w:lang w:val="el-GR"/>
              </w:rPr>
            </w:pPr>
            <w:r w:rsidRPr="00FD527E">
              <w:rPr>
                <w:rFonts w:asciiTheme="majorHAnsi" w:hAnsiTheme="majorHAnsi"/>
                <w:lang w:val="el-GR"/>
              </w:rPr>
              <w:t>5 + 3,75 = 8,75</w:t>
            </w:r>
          </w:p>
        </w:tc>
      </w:tr>
      <w:tr w:rsidR="00FD527E" w:rsidRPr="00E93A27" w:rsidTr="00FD527E">
        <w:trPr>
          <w:trHeight w:val="376"/>
          <w:jc w:val="center"/>
        </w:trPr>
        <w:tc>
          <w:tcPr>
            <w:tcW w:w="157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proofErr w:type="spellStart"/>
            <w:r w:rsidRPr="00152F11">
              <w:rPr>
                <w:rFonts w:asciiTheme="majorHAnsi" w:hAnsiTheme="majorHAnsi"/>
                <w:lang w:val="el-GR"/>
              </w:rPr>
              <w:t>Ασφ</w:t>
            </w:r>
            <w:proofErr w:type="spellEnd"/>
            <w:r w:rsidRPr="00152F11">
              <w:rPr>
                <w:rFonts w:asciiTheme="majorHAnsi" w:hAnsiTheme="majorHAnsi"/>
                <w:lang w:val="el-GR"/>
              </w:rPr>
              <w:t>. Ταμεία</w:t>
            </w:r>
            <w:r w:rsidRPr="00152F11">
              <w:rPr>
                <w:rFonts w:asciiTheme="majorHAnsi" w:hAnsiTheme="majorHAnsi"/>
              </w:rPr>
              <w:t xml:space="preserve"> </w:t>
            </w:r>
          </w:p>
        </w:tc>
        <w:tc>
          <w:tcPr>
            <w:tcW w:w="134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10</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10</w:t>
            </w:r>
          </w:p>
        </w:tc>
        <w:tc>
          <w:tcPr>
            <w:tcW w:w="127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6</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Pr>
          <w:p w:rsidR="00FD527E" w:rsidRPr="00FD527E" w:rsidRDefault="00FD527E" w:rsidP="00FD527E">
            <w:pPr>
              <w:spacing w:after="0" w:line="240" w:lineRule="auto"/>
              <w:ind w:left="90"/>
              <w:jc w:val="center"/>
              <w:rPr>
                <w:rFonts w:asciiTheme="majorHAnsi" w:hAnsiTheme="majorHAnsi"/>
                <w:lang w:val="el-GR"/>
              </w:rPr>
            </w:pPr>
            <w:r w:rsidRPr="00FD527E">
              <w:rPr>
                <w:rFonts w:asciiTheme="majorHAnsi" w:hAnsiTheme="majorHAnsi"/>
                <w:lang w:val="el-GR"/>
              </w:rPr>
              <w:t>7,5</w:t>
            </w:r>
          </w:p>
        </w:tc>
      </w:tr>
      <w:tr w:rsidR="00FD527E" w:rsidRPr="00E93A27" w:rsidTr="00FD527E">
        <w:trPr>
          <w:trHeight w:val="376"/>
          <w:jc w:val="center"/>
        </w:trPr>
        <w:tc>
          <w:tcPr>
            <w:tcW w:w="157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sidRPr="00152F11">
              <w:rPr>
                <w:rFonts w:asciiTheme="majorHAnsi" w:hAnsiTheme="majorHAnsi"/>
                <w:lang w:val="el-GR"/>
              </w:rPr>
              <w:t>Ενυπόθηκοι</w:t>
            </w:r>
            <w:r w:rsidRPr="00152F11">
              <w:rPr>
                <w:rFonts w:asciiTheme="majorHAnsi" w:hAnsiTheme="majorHAnsi"/>
              </w:rPr>
              <w:t xml:space="preserve"> </w:t>
            </w:r>
          </w:p>
        </w:tc>
        <w:tc>
          <w:tcPr>
            <w:tcW w:w="134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40</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25</w:t>
            </w:r>
          </w:p>
        </w:tc>
        <w:tc>
          <w:tcPr>
            <w:tcW w:w="127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lang w:val="el-GR"/>
              </w:rPr>
            </w:pPr>
            <w:r w:rsidRPr="00FD527E">
              <w:rPr>
                <w:rFonts w:asciiTheme="majorHAnsi" w:hAnsiTheme="majorHAnsi"/>
                <w:lang w:val="el-GR"/>
              </w:rPr>
              <w:t>39</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Pr>
          <w:p w:rsidR="00FD527E" w:rsidRPr="00FD527E" w:rsidRDefault="00FD527E" w:rsidP="00FD527E">
            <w:pPr>
              <w:spacing w:after="0" w:line="240" w:lineRule="auto"/>
              <w:ind w:left="90"/>
              <w:jc w:val="center"/>
              <w:rPr>
                <w:rFonts w:asciiTheme="majorHAnsi" w:hAnsiTheme="majorHAnsi"/>
                <w:lang w:val="el-GR"/>
              </w:rPr>
            </w:pPr>
            <w:r w:rsidRPr="00FD527E">
              <w:rPr>
                <w:rFonts w:asciiTheme="majorHAnsi" w:hAnsiTheme="majorHAnsi"/>
                <w:lang w:val="el-GR"/>
              </w:rPr>
              <w:t>40</w:t>
            </w:r>
          </w:p>
        </w:tc>
      </w:tr>
      <w:tr w:rsidR="00FD527E" w:rsidRPr="00E93A27" w:rsidTr="00FD527E">
        <w:trPr>
          <w:trHeight w:val="376"/>
          <w:jc w:val="center"/>
        </w:trPr>
        <w:tc>
          <w:tcPr>
            <w:tcW w:w="157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sidRPr="00152F11">
              <w:rPr>
                <w:rFonts w:asciiTheme="majorHAnsi" w:hAnsiTheme="majorHAnsi"/>
                <w:lang w:val="el-GR"/>
              </w:rPr>
              <w:t>Δημόσιο</w:t>
            </w:r>
            <w:r w:rsidRPr="00152F11">
              <w:rPr>
                <w:rFonts w:asciiTheme="majorHAnsi" w:hAnsiTheme="majorHAnsi"/>
              </w:rPr>
              <w:t xml:space="preserve"> </w:t>
            </w:r>
          </w:p>
        </w:tc>
        <w:tc>
          <w:tcPr>
            <w:tcW w:w="134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10</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10</w:t>
            </w:r>
          </w:p>
        </w:tc>
        <w:tc>
          <w:tcPr>
            <w:tcW w:w="127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0</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Pr>
          <w:p w:rsidR="00FD527E" w:rsidRPr="00FD527E" w:rsidRDefault="00FD527E" w:rsidP="00FD527E">
            <w:pPr>
              <w:spacing w:after="0" w:line="240" w:lineRule="auto"/>
              <w:ind w:left="90"/>
              <w:jc w:val="center"/>
              <w:rPr>
                <w:rFonts w:asciiTheme="majorHAnsi" w:hAnsiTheme="majorHAnsi"/>
                <w:lang w:val="el-GR"/>
              </w:rPr>
            </w:pPr>
            <w:r w:rsidRPr="00FD527E">
              <w:rPr>
                <w:rFonts w:asciiTheme="majorHAnsi" w:hAnsiTheme="majorHAnsi"/>
                <w:lang w:val="el-GR"/>
              </w:rPr>
              <w:t>0</w:t>
            </w:r>
          </w:p>
        </w:tc>
      </w:tr>
      <w:tr w:rsidR="00FD527E" w:rsidRPr="00E93A27" w:rsidTr="00FD527E">
        <w:trPr>
          <w:trHeight w:val="376"/>
          <w:jc w:val="center"/>
        </w:trPr>
        <w:tc>
          <w:tcPr>
            <w:tcW w:w="157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sidRPr="00152F11">
              <w:rPr>
                <w:rFonts w:asciiTheme="majorHAnsi" w:hAnsiTheme="majorHAnsi"/>
                <w:lang w:val="el-GR"/>
              </w:rPr>
              <w:t>Ανέγγυοι</w:t>
            </w:r>
            <w:r w:rsidRPr="00152F11">
              <w:rPr>
                <w:rFonts w:asciiTheme="majorHAnsi" w:hAnsiTheme="majorHAnsi"/>
              </w:rPr>
              <w:t xml:space="preserve"> </w:t>
            </w:r>
          </w:p>
        </w:tc>
        <w:tc>
          <w:tcPr>
            <w:tcW w:w="134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25</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0</w:t>
            </w:r>
          </w:p>
        </w:tc>
        <w:tc>
          <w:tcPr>
            <w:tcW w:w="127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lang w:val="el-GR"/>
              </w:rPr>
              <w:t>6</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Pr>
          <w:p w:rsidR="00FD527E" w:rsidRPr="00FD527E" w:rsidRDefault="00FD527E" w:rsidP="00FD527E">
            <w:pPr>
              <w:spacing w:after="0" w:line="240" w:lineRule="auto"/>
              <w:ind w:left="90"/>
              <w:jc w:val="center"/>
              <w:rPr>
                <w:rFonts w:asciiTheme="majorHAnsi" w:hAnsiTheme="majorHAnsi"/>
                <w:lang w:val="el-GR"/>
              </w:rPr>
            </w:pPr>
            <w:r w:rsidRPr="00FD527E">
              <w:rPr>
                <w:rFonts w:asciiTheme="majorHAnsi" w:hAnsiTheme="majorHAnsi"/>
                <w:lang w:val="el-GR"/>
              </w:rPr>
              <w:t>0</w:t>
            </w:r>
          </w:p>
        </w:tc>
      </w:tr>
      <w:tr w:rsidR="00FD527E" w:rsidRPr="00E93A27" w:rsidTr="00FD527E">
        <w:trPr>
          <w:trHeight w:val="394"/>
          <w:jc w:val="center"/>
        </w:trPr>
        <w:tc>
          <w:tcPr>
            <w:tcW w:w="157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152F11" w:rsidRDefault="00FD527E" w:rsidP="00A96EF9">
            <w:pPr>
              <w:spacing w:after="0" w:line="240" w:lineRule="auto"/>
              <w:rPr>
                <w:rFonts w:asciiTheme="majorHAnsi" w:hAnsiTheme="majorHAnsi"/>
              </w:rPr>
            </w:pPr>
            <w:r w:rsidRPr="00152F11">
              <w:rPr>
                <w:rFonts w:asciiTheme="majorHAnsi" w:hAnsiTheme="majorHAnsi"/>
                <w:b/>
                <w:bCs/>
                <w:lang w:val="el-GR"/>
              </w:rPr>
              <w:t>Σύνολο</w:t>
            </w:r>
            <w:r w:rsidRPr="00152F11">
              <w:rPr>
                <w:rFonts w:asciiTheme="majorHAnsi" w:hAnsiTheme="majorHAnsi"/>
                <w:b/>
                <w:bCs/>
              </w:rPr>
              <w:t xml:space="preserve"> </w:t>
            </w:r>
          </w:p>
        </w:tc>
        <w:tc>
          <w:tcPr>
            <w:tcW w:w="134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b/>
                <w:bCs/>
                <w:lang w:val="el-GR"/>
              </w:rPr>
              <w:t>100</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b/>
                <w:bCs/>
                <w:lang w:val="el-GR"/>
              </w:rPr>
              <w:t>60</w:t>
            </w:r>
          </w:p>
        </w:tc>
        <w:tc>
          <w:tcPr>
            <w:tcW w:w="127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FD527E" w:rsidRPr="00FD527E" w:rsidRDefault="00FD527E" w:rsidP="00FD527E">
            <w:pPr>
              <w:spacing w:after="0" w:line="240" w:lineRule="auto"/>
              <w:jc w:val="center"/>
              <w:rPr>
                <w:rFonts w:asciiTheme="majorHAnsi" w:hAnsiTheme="majorHAnsi"/>
              </w:rPr>
            </w:pPr>
            <w:r w:rsidRPr="00FD527E">
              <w:rPr>
                <w:rFonts w:asciiTheme="majorHAnsi" w:hAnsiTheme="majorHAnsi"/>
                <w:b/>
                <w:bCs/>
                <w:lang w:val="el-GR"/>
              </w:rPr>
              <w:t>60</w:t>
            </w:r>
          </w:p>
        </w:tc>
        <w:tc>
          <w:tcPr>
            <w:tcW w:w="1638" w:type="dxa"/>
            <w:tcBorders>
              <w:top w:val="single" w:sz="8" w:space="0" w:color="000000"/>
              <w:left w:val="single" w:sz="8" w:space="0" w:color="000000"/>
              <w:bottom w:val="single" w:sz="8" w:space="0" w:color="000000"/>
              <w:right w:val="single" w:sz="8" w:space="0" w:color="000000"/>
            </w:tcBorders>
            <w:shd w:val="clear" w:color="auto" w:fill="E7E7E7"/>
          </w:tcPr>
          <w:p w:rsidR="00FD527E" w:rsidRPr="00FD527E" w:rsidRDefault="00FD527E" w:rsidP="00FD527E">
            <w:pPr>
              <w:spacing w:after="0" w:line="240" w:lineRule="auto"/>
              <w:ind w:left="90"/>
              <w:jc w:val="center"/>
              <w:rPr>
                <w:rFonts w:asciiTheme="majorHAnsi" w:hAnsiTheme="majorHAnsi"/>
                <w:b/>
                <w:bCs/>
                <w:lang w:val="el-GR"/>
              </w:rPr>
            </w:pPr>
            <w:r w:rsidRPr="00FD527E">
              <w:rPr>
                <w:rFonts w:asciiTheme="majorHAnsi" w:hAnsiTheme="majorHAnsi"/>
                <w:b/>
                <w:bCs/>
                <w:lang w:val="el-GR"/>
              </w:rPr>
              <w:t>60</w:t>
            </w:r>
          </w:p>
        </w:tc>
      </w:tr>
    </w:tbl>
    <w:p w:rsidR="00FD527E" w:rsidRDefault="00FD527E" w:rsidP="00FD527E">
      <w:pPr>
        <w:pStyle w:val="a3"/>
        <w:spacing w:after="0" w:line="240" w:lineRule="auto"/>
      </w:pPr>
    </w:p>
    <w:p w:rsidR="00FD527E" w:rsidRPr="001E3618" w:rsidRDefault="00FD527E" w:rsidP="00FD527E">
      <w:pPr>
        <w:tabs>
          <w:tab w:val="left" w:pos="360"/>
        </w:tabs>
        <w:spacing w:after="120"/>
        <w:jc w:val="both"/>
        <w:rPr>
          <w:rFonts w:ascii="Cambria" w:hAnsi="Cambria"/>
          <w:i/>
          <w:sz w:val="23"/>
          <w:szCs w:val="23"/>
          <w:lang w:val="el-GR"/>
        </w:rPr>
      </w:pPr>
      <w:r w:rsidRPr="001E3618">
        <w:rPr>
          <w:rFonts w:ascii="Cambria" w:hAnsi="Cambria"/>
          <w:b/>
          <w:i/>
          <w:sz w:val="23"/>
          <w:szCs w:val="23"/>
          <w:lang w:val="el-GR"/>
        </w:rPr>
        <w:t xml:space="preserve">* </w:t>
      </w:r>
      <w:r w:rsidRPr="001E3618">
        <w:rPr>
          <w:rFonts w:ascii="Cambria" w:hAnsi="Cambria"/>
          <w:i/>
          <w:sz w:val="23"/>
          <w:szCs w:val="23"/>
          <w:lang w:val="el-GR"/>
        </w:rPr>
        <w:t>Υποθέτουμε ότι το σύνολο της απαίτησης γεννήθηκε τα τελευταία δύο έτη πριν τον πλειστηριασμό, ενώ το ήμισυ αυτής τους τελευταίους έξι μήνες πριν τον πλειστηριασμό.</w:t>
      </w:r>
    </w:p>
    <w:p w:rsidR="00A3396D" w:rsidRDefault="00A3396D" w:rsidP="00FD527E">
      <w:pPr>
        <w:tabs>
          <w:tab w:val="left" w:pos="360"/>
        </w:tabs>
        <w:spacing w:after="120"/>
        <w:jc w:val="both"/>
        <w:rPr>
          <w:rFonts w:ascii="Cambria" w:hAnsi="Cambria"/>
          <w:sz w:val="23"/>
          <w:szCs w:val="23"/>
          <w:lang w:val="el-GR"/>
        </w:rPr>
      </w:pPr>
      <w:r>
        <w:rPr>
          <w:rFonts w:ascii="Cambria" w:hAnsi="Cambria"/>
          <w:sz w:val="23"/>
          <w:szCs w:val="23"/>
          <w:lang w:val="el-GR"/>
        </w:rPr>
        <w:t xml:space="preserve">Υπενθυμίζεται ότι προ του ν. 4335/2015 υπήρχαν τρεις κατηγορίες </w:t>
      </w:r>
      <w:proofErr w:type="spellStart"/>
      <w:r>
        <w:rPr>
          <w:rFonts w:ascii="Cambria" w:hAnsi="Cambria"/>
          <w:sz w:val="23"/>
          <w:szCs w:val="23"/>
          <w:lang w:val="el-GR"/>
        </w:rPr>
        <w:t>υπερ</w:t>
      </w:r>
      <w:proofErr w:type="spellEnd"/>
      <w:r>
        <w:rPr>
          <w:rFonts w:ascii="Cambria" w:hAnsi="Cambria"/>
          <w:sz w:val="23"/>
          <w:szCs w:val="23"/>
          <w:lang w:val="el-GR"/>
        </w:rPr>
        <w:t xml:space="preserve">-προνομιούχων πιστωτών (ΦΠΑ, εργαζόμενοι, ασφαλιστικά ταμεία), που ικανοποιούνταν πλήρως, και στη συνέχεια το </w:t>
      </w:r>
      <w:proofErr w:type="spellStart"/>
      <w:r>
        <w:rPr>
          <w:rFonts w:ascii="Cambria" w:hAnsi="Cambria"/>
          <w:sz w:val="23"/>
          <w:szCs w:val="23"/>
          <w:lang w:val="el-GR"/>
        </w:rPr>
        <w:t>πλειστηρίασμα</w:t>
      </w:r>
      <w:proofErr w:type="spellEnd"/>
      <w:r>
        <w:rPr>
          <w:rFonts w:ascii="Cambria" w:hAnsi="Cambria"/>
          <w:sz w:val="23"/>
          <w:szCs w:val="23"/>
          <w:lang w:val="el-GR"/>
        </w:rPr>
        <w:t xml:space="preserve"> διαιρείτο για την ικανοποίηση των ειδικών προνομιούχων (μέχρι 2/3) και των (λοιπών) γενικών προνομιούχων (μέχρι 1/3). Μετά το ν. 4335/2015, έπαψαν να υπάρχουν </w:t>
      </w:r>
      <w:proofErr w:type="spellStart"/>
      <w:r>
        <w:rPr>
          <w:rFonts w:ascii="Cambria" w:hAnsi="Cambria"/>
          <w:sz w:val="23"/>
          <w:szCs w:val="23"/>
          <w:lang w:val="el-GR"/>
        </w:rPr>
        <w:t>υπερ</w:t>
      </w:r>
      <w:proofErr w:type="spellEnd"/>
      <w:r>
        <w:rPr>
          <w:rFonts w:ascii="Cambria" w:hAnsi="Cambria"/>
          <w:sz w:val="23"/>
          <w:szCs w:val="23"/>
          <w:lang w:val="el-GR"/>
        </w:rPr>
        <w:t xml:space="preserve">-προνομιούχοι, και οι κατηγορίες αυτές πιστωτών που ως τότε ήταν </w:t>
      </w:r>
      <w:proofErr w:type="spellStart"/>
      <w:r>
        <w:rPr>
          <w:rFonts w:ascii="Cambria" w:hAnsi="Cambria"/>
          <w:sz w:val="23"/>
          <w:szCs w:val="23"/>
          <w:lang w:val="el-GR"/>
        </w:rPr>
        <w:t>υπερ</w:t>
      </w:r>
      <w:proofErr w:type="spellEnd"/>
      <w:r>
        <w:rPr>
          <w:rFonts w:ascii="Cambria" w:hAnsi="Cambria"/>
          <w:sz w:val="23"/>
          <w:szCs w:val="23"/>
          <w:lang w:val="el-GR"/>
        </w:rPr>
        <w:t xml:space="preserve">-προνομιούχοι </w:t>
      </w:r>
      <w:proofErr w:type="spellStart"/>
      <w:r>
        <w:rPr>
          <w:rFonts w:ascii="Cambria" w:hAnsi="Cambria"/>
          <w:sz w:val="23"/>
          <w:szCs w:val="23"/>
          <w:lang w:val="el-GR"/>
        </w:rPr>
        <w:t>ενετάχθησαν</w:t>
      </w:r>
      <w:proofErr w:type="spellEnd"/>
      <w:r>
        <w:rPr>
          <w:rFonts w:ascii="Cambria" w:hAnsi="Cambria"/>
          <w:sz w:val="23"/>
          <w:szCs w:val="23"/>
          <w:lang w:val="el-GR"/>
        </w:rPr>
        <w:t xml:space="preserve"> στην ικανοποίηση των γενικών προνομιούχων (δηλ. μέχρι 25% </w:t>
      </w:r>
      <w:r>
        <w:rPr>
          <w:rFonts w:ascii="Cambria" w:hAnsi="Cambria"/>
          <w:sz w:val="23"/>
          <w:szCs w:val="23"/>
          <w:lang w:val="el-GR"/>
        </w:rPr>
        <w:lastRenderedPageBreak/>
        <w:t xml:space="preserve">κατά το </w:t>
      </w:r>
      <w:proofErr w:type="spellStart"/>
      <w:r>
        <w:rPr>
          <w:rFonts w:ascii="Cambria" w:hAnsi="Cambria"/>
          <w:sz w:val="23"/>
          <w:szCs w:val="23"/>
          <w:lang w:val="el-GR"/>
        </w:rPr>
        <w:t>άρ</w:t>
      </w:r>
      <w:proofErr w:type="spellEnd"/>
      <w:r>
        <w:rPr>
          <w:rFonts w:ascii="Cambria" w:hAnsi="Cambria"/>
          <w:sz w:val="23"/>
          <w:szCs w:val="23"/>
          <w:lang w:val="el-GR"/>
        </w:rPr>
        <w:t xml:space="preserve">. 977 </w:t>
      </w:r>
      <w:proofErr w:type="spellStart"/>
      <w:r>
        <w:rPr>
          <w:rFonts w:ascii="Cambria" w:hAnsi="Cambria"/>
          <w:sz w:val="23"/>
          <w:szCs w:val="23"/>
          <w:lang w:val="el-GR"/>
        </w:rPr>
        <w:t>ΚΠολΔ</w:t>
      </w:r>
      <w:proofErr w:type="spellEnd"/>
      <w:r>
        <w:rPr>
          <w:rFonts w:ascii="Cambria" w:hAnsi="Cambria"/>
          <w:sz w:val="23"/>
          <w:szCs w:val="23"/>
          <w:lang w:val="el-GR"/>
        </w:rPr>
        <w:t xml:space="preserve">). </w:t>
      </w:r>
      <w:r w:rsidR="0034164F">
        <w:rPr>
          <w:rFonts w:ascii="Cambria" w:hAnsi="Cambria"/>
          <w:sz w:val="23"/>
          <w:szCs w:val="23"/>
          <w:lang w:val="el-GR"/>
        </w:rPr>
        <w:t xml:space="preserve">Ακόμη, μετά το ν. 4335/2015, οι ειδικοί προνομιούχοι ικανοποιούνται μέχρι 65% του προς διανομή ποσού, και οι ανέγγυοι μέχρι 10%. </w:t>
      </w:r>
      <w:r>
        <w:rPr>
          <w:rFonts w:ascii="Cambria" w:hAnsi="Cambria"/>
          <w:sz w:val="23"/>
          <w:szCs w:val="23"/>
          <w:lang w:val="el-GR"/>
        </w:rPr>
        <w:t>Ιδιαίτεροι κανόνες υπάρχουν όταν δεν υφίστανται όλες οι κατηγορίες πιστωτών.</w:t>
      </w:r>
    </w:p>
    <w:p w:rsidR="0034164F" w:rsidRPr="007477D2" w:rsidRDefault="0034164F" w:rsidP="00FD527E">
      <w:pPr>
        <w:tabs>
          <w:tab w:val="left" w:pos="360"/>
        </w:tabs>
        <w:spacing w:after="120"/>
        <w:jc w:val="both"/>
        <w:rPr>
          <w:rFonts w:ascii="Cambria" w:hAnsi="Cambria"/>
          <w:sz w:val="23"/>
          <w:szCs w:val="23"/>
          <w:lang w:val="el-GR"/>
        </w:rPr>
      </w:pPr>
      <w:r>
        <w:rPr>
          <w:rFonts w:ascii="Cambria" w:hAnsi="Cambria"/>
          <w:sz w:val="23"/>
          <w:szCs w:val="23"/>
          <w:lang w:val="el-GR"/>
        </w:rPr>
        <w:t>Οι κανόνες κατάταξης, εκτός του ότι έχουν σημασία και πριν την διενέργεια πλειστηριασμών (διότι αποκαλύπτουν την αξία κάθε απαίτησης), κρύβουν θεμελιώδεις σταθμίσεις του νομοθέτη. Γι’ αυτό και ο νομοθέτης θα πρέπει να είναι φειδωλός κατά τη μεταρρύθμιση των οικείων κανόνων.</w:t>
      </w:r>
    </w:p>
    <w:p w:rsidR="00E15AF2" w:rsidRDefault="00E15AF2">
      <w:pPr>
        <w:pBdr>
          <w:bottom w:val="single" w:sz="12" w:space="1" w:color="auto"/>
        </w:pBdr>
      </w:pPr>
      <w:r>
        <w:rPr>
          <w:lang w:val="el-GR"/>
        </w:rPr>
        <w:t xml:space="preserve"> </w:t>
      </w:r>
    </w:p>
    <w:p w:rsidR="001E3618" w:rsidRPr="001E3618" w:rsidRDefault="001E3618"/>
    <w:sectPr w:rsidR="001E3618" w:rsidRPr="001E3618" w:rsidSect="00556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60168"/>
    <w:rsid w:val="00162A4E"/>
    <w:rsid w:val="001E3618"/>
    <w:rsid w:val="00255131"/>
    <w:rsid w:val="0034164F"/>
    <w:rsid w:val="00471509"/>
    <w:rsid w:val="00546AFC"/>
    <w:rsid w:val="00556A0A"/>
    <w:rsid w:val="008A0638"/>
    <w:rsid w:val="009513B2"/>
    <w:rsid w:val="00A3396D"/>
    <w:rsid w:val="00E15AF2"/>
    <w:rsid w:val="00E2282E"/>
    <w:rsid w:val="00E60168"/>
    <w:rsid w:val="00E63B08"/>
    <w:rsid w:val="00FD5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27E"/>
    <w:pPr>
      <w:ind w:left="720"/>
      <w:contextualSpacing/>
    </w:pPr>
  </w:style>
</w:styles>
</file>

<file path=word/webSettings.xml><?xml version="1.0" encoding="utf-8"?>
<w:webSettings xmlns:r="http://schemas.openxmlformats.org/officeDocument/2006/relationships" xmlns:w="http://schemas.openxmlformats.org/wordprocessingml/2006/main">
  <w:divs>
    <w:div w:id="17259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785</Words>
  <Characters>4478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arokas</dc:creator>
  <cp:lastModifiedBy>arokas</cp:lastModifiedBy>
  <cp:revision>2</cp:revision>
  <dcterms:created xsi:type="dcterms:W3CDTF">2018-02-17T14:27:00Z</dcterms:created>
  <dcterms:modified xsi:type="dcterms:W3CDTF">2018-02-17T16:18:00Z</dcterms:modified>
</cp:coreProperties>
</file>